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E9DB" w14:textId="77777777" w:rsidR="00366D2F" w:rsidRDefault="00E71902">
      <w:pPr>
        <w:spacing w:after="114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14:paraId="4FE26A79" w14:textId="77777777" w:rsidR="00366D2F" w:rsidRDefault="00E71902">
      <w:pPr>
        <w:spacing w:after="0"/>
        <w:ind w:left="121"/>
        <w:jc w:val="center"/>
      </w:pPr>
      <w:r>
        <w:rPr>
          <w:rFonts w:ascii="Arial" w:eastAsia="Arial" w:hAnsi="Arial" w:cs="Arial"/>
          <w:color w:val="0000FF"/>
          <w:sz w:val="32"/>
        </w:rPr>
        <w:t xml:space="preserve"> </w:t>
      </w:r>
    </w:p>
    <w:p w14:paraId="3C1B7DB9" w14:textId="0248F0CB" w:rsidR="00366D2F" w:rsidRDefault="00FB7219" w:rsidP="00FB7219">
      <w:pPr>
        <w:spacing w:after="0"/>
        <w:jc w:val="center"/>
      </w:pPr>
      <w:r>
        <w:rPr>
          <w:rFonts w:ascii="Arial" w:eastAsia="Arial" w:hAnsi="Arial" w:cs="Arial"/>
          <w:b/>
          <w:color w:val="0000FF"/>
          <w:sz w:val="32"/>
          <w:lang w:val="ru-RU"/>
        </w:rPr>
        <w:t xml:space="preserve">Калибровочная </w:t>
      </w:r>
      <w:r w:rsidR="00670365">
        <w:rPr>
          <w:rFonts w:ascii="Arial" w:eastAsia="Arial" w:hAnsi="Arial" w:cs="Arial"/>
          <w:b/>
          <w:color w:val="0000FF"/>
          <w:sz w:val="32"/>
          <w:lang w:val="ru-RU"/>
        </w:rPr>
        <w:t>мульти</w:t>
      </w:r>
      <w:r>
        <w:rPr>
          <w:rFonts w:ascii="Arial" w:eastAsia="Arial" w:hAnsi="Arial" w:cs="Arial"/>
          <w:b/>
          <w:color w:val="0000FF"/>
          <w:sz w:val="32"/>
          <w:lang w:val="ru-RU"/>
        </w:rPr>
        <w:t xml:space="preserve">сыворотка </w:t>
      </w:r>
    </w:p>
    <w:p w14:paraId="05B2ECEA" w14:textId="76F06822" w:rsidR="00366D2F" w:rsidRDefault="00FB7219">
      <w:pPr>
        <w:pStyle w:val="1"/>
        <w:ind w:left="-5"/>
      </w:pPr>
      <w:r>
        <w:rPr>
          <w:lang w:val="ru-RU"/>
        </w:rPr>
        <w:t>ОПИСАНИЕ</w:t>
      </w:r>
      <w:r w:rsidR="00E71902">
        <w:t xml:space="preserve"> </w:t>
      </w:r>
    </w:p>
    <w:tbl>
      <w:tblPr>
        <w:tblStyle w:val="TableGrid"/>
        <w:tblW w:w="5960" w:type="dxa"/>
        <w:tblInd w:w="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9"/>
        <w:gridCol w:w="2981"/>
      </w:tblGrid>
      <w:tr w:rsidR="00366D2F" w14:paraId="7B423EDF" w14:textId="77777777" w:rsidTr="00D52F34">
        <w:trPr>
          <w:trHeight w:val="331"/>
        </w:trPr>
        <w:tc>
          <w:tcPr>
            <w:tcW w:w="2979" w:type="dxa"/>
          </w:tcPr>
          <w:p w14:paraId="3C378428" w14:textId="70DF0A9B" w:rsidR="00366D2F" w:rsidRPr="00D52F34" w:rsidRDefault="00FB7219">
            <w:pPr>
              <w:spacing w:after="0"/>
              <w:ind w:left="2"/>
              <w:jc w:val="center"/>
              <w:rPr>
                <w:b/>
                <w:lang w:val="ru-RU"/>
              </w:rPr>
            </w:pPr>
            <w:r w:rsidRPr="00D52F34">
              <w:rPr>
                <w:rFonts w:ascii="Arial" w:eastAsia="Arial" w:hAnsi="Arial" w:cs="Arial"/>
                <w:b/>
                <w:sz w:val="18"/>
              </w:rPr>
              <w:t xml:space="preserve">Кат. </w:t>
            </w:r>
            <w:r w:rsidRPr="00D52F34">
              <w:rPr>
                <w:rFonts w:ascii="Arial" w:eastAsia="Arial" w:hAnsi="Arial" w:cs="Arial"/>
                <w:b/>
                <w:sz w:val="18"/>
                <w:lang w:val="ru-RU"/>
              </w:rPr>
              <w:t>№</w:t>
            </w:r>
          </w:p>
        </w:tc>
        <w:tc>
          <w:tcPr>
            <w:tcW w:w="2981" w:type="dxa"/>
          </w:tcPr>
          <w:p w14:paraId="38D5C062" w14:textId="5A40D924" w:rsidR="00366D2F" w:rsidRPr="00D52F34" w:rsidRDefault="00E90877">
            <w:pPr>
              <w:spacing w:after="0"/>
              <w:ind w:right="4"/>
              <w:jc w:val="center"/>
              <w:rPr>
                <w:b/>
              </w:rPr>
            </w:pPr>
            <w:r w:rsidRPr="00D52F34">
              <w:rPr>
                <w:rFonts w:ascii="Arial" w:eastAsia="Arial" w:hAnsi="Arial" w:cs="Arial"/>
                <w:b/>
                <w:sz w:val="18"/>
                <w:lang w:val="ru-RU"/>
              </w:rPr>
              <w:t>Упаковка</w:t>
            </w:r>
            <w:r w:rsidR="00E71902" w:rsidRPr="00D52F34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366D2F" w14:paraId="29B2623F" w14:textId="77777777" w:rsidTr="00D52F34">
        <w:trPr>
          <w:trHeight w:val="322"/>
        </w:trPr>
        <w:tc>
          <w:tcPr>
            <w:tcW w:w="2979" w:type="dxa"/>
          </w:tcPr>
          <w:p w14:paraId="2D4E176D" w14:textId="48D58185" w:rsidR="00366D2F" w:rsidRPr="00E90877" w:rsidRDefault="00366D2F" w:rsidP="00E90877">
            <w:pPr>
              <w:spacing w:after="0"/>
              <w:rPr>
                <w:rFonts w:eastAsia="DengXian" w:hint="eastAsia"/>
              </w:rPr>
            </w:pPr>
          </w:p>
        </w:tc>
        <w:tc>
          <w:tcPr>
            <w:tcW w:w="2981" w:type="dxa"/>
          </w:tcPr>
          <w:p w14:paraId="27E57B27" w14:textId="4E513FEF" w:rsidR="00366D2F" w:rsidRDefault="00E71902" w:rsidP="00E9087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1×</w:t>
            </w:r>
            <w:r w:rsidR="00E90877">
              <w:rPr>
                <w:rFonts w:ascii="Arial" w:eastAsia="Arial" w:hAnsi="Arial" w:cs="Arial"/>
                <w:sz w:val="18"/>
                <w:lang w:val="ru-RU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FB7219">
              <w:rPr>
                <w:rFonts w:ascii="Arial" w:eastAsia="Arial" w:hAnsi="Arial" w:cs="Arial"/>
                <w:sz w:val="18"/>
                <w:lang w:val="ru-RU"/>
              </w:rPr>
              <w:t>мл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E99C0FC" w14:textId="7840B522" w:rsidR="00366D2F" w:rsidRDefault="00366D2F">
      <w:pPr>
        <w:spacing w:after="103"/>
        <w:ind w:right="1941"/>
      </w:pPr>
    </w:p>
    <w:p w14:paraId="5B8D56DE" w14:textId="2138E6DB" w:rsidR="00366D2F" w:rsidRDefault="00FB7219">
      <w:pPr>
        <w:spacing w:after="111"/>
        <w:ind w:left="-5" w:hanging="10"/>
      </w:pPr>
      <w:r>
        <w:rPr>
          <w:rFonts w:ascii="Arial" w:eastAsia="Arial" w:hAnsi="Arial" w:cs="Arial"/>
          <w:b/>
          <w:sz w:val="18"/>
          <w:lang w:val="ru-RU"/>
        </w:rPr>
        <w:t>НАЗНАЧЕНИЕ</w:t>
      </w:r>
      <w:r w:rsidR="00E71902">
        <w:rPr>
          <w:rFonts w:ascii="Arial" w:eastAsia="Arial" w:hAnsi="Arial" w:cs="Arial"/>
          <w:b/>
          <w:sz w:val="18"/>
        </w:rPr>
        <w:t xml:space="preserve"> </w:t>
      </w:r>
    </w:p>
    <w:p w14:paraId="584A5BE3" w14:textId="0D4B0386" w:rsidR="00366D2F" w:rsidRPr="00F010FC" w:rsidRDefault="009B40DC" w:rsidP="00D52F34">
      <w:pPr>
        <w:spacing w:after="104" w:line="251" w:lineRule="auto"/>
        <w:ind w:left="-5" w:hanging="10"/>
        <w:jc w:val="both"/>
        <w:rPr>
          <w:lang w:val="ru-RU"/>
        </w:rPr>
      </w:pPr>
      <w:r>
        <w:rPr>
          <w:rFonts w:ascii="Arial" w:eastAsia="Arial" w:hAnsi="Arial" w:cs="Arial"/>
          <w:sz w:val="18"/>
          <w:lang w:val="ru-RU"/>
        </w:rPr>
        <w:t xml:space="preserve">Калибровочная </w:t>
      </w:r>
      <w:r w:rsidR="00670365">
        <w:rPr>
          <w:rFonts w:ascii="Arial" w:eastAsia="Arial" w:hAnsi="Arial" w:cs="Arial"/>
          <w:sz w:val="18"/>
          <w:lang w:val="ru-RU"/>
        </w:rPr>
        <w:t>мульти</w:t>
      </w:r>
      <w:r>
        <w:rPr>
          <w:rFonts w:ascii="Arial" w:eastAsia="Arial" w:hAnsi="Arial" w:cs="Arial"/>
          <w:sz w:val="18"/>
          <w:lang w:val="ru-RU"/>
        </w:rPr>
        <w:t>сыворотка</w:t>
      </w:r>
      <w:r w:rsidRPr="009B40DC">
        <w:rPr>
          <w:rFonts w:ascii="Arial" w:eastAsia="Arial" w:hAnsi="Arial" w:cs="Arial"/>
          <w:sz w:val="18"/>
        </w:rPr>
        <w:t xml:space="preserve"> </w:t>
      </w:r>
      <w:r w:rsidR="00670365">
        <w:rPr>
          <w:rFonts w:ascii="Arial" w:eastAsia="Arial" w:hAnsi="Arial" w:cs="Arial"/>
          <w:sz w:val="18"/>
          <w:lang w:val="ru-RU"/>
        </w:rPr>
        <w:t xml:space="preserve">предназначена для использования в биохимических исследованиях. </w:t>
      </w:r>
      <w:r w:rsidR="00F010FC">
        <w:rPr>
          <w:rFonts w:ascii="Arial" w:eastAsia="Arial" w:hAnsi="Arial" w:cs="Arial"/>
          <w:sz w:val="18"/>
          <w:lang w:val="ru-RU"/>
        </w:rPr>
        <w:t xml:space="preserve">Калибровочные сыворотки </w:t>
      </w:r>
      <w:r w:rsidR="00F010FC">
        <w:rPr>
          <w:rFonts w:ascii="Arial" w:eastAsia="Arial" w:hAnsi="Arial" w:cs="Arial"/>
          <w:sz w:val="18"/>
          <w:lang w:val="en-US"/>
        </w:rPr>
        <w:t>GCELL</w:t>
      </w:r>
      <w:r w:rsidR="00F010FC">
        <w:rPr>
          <w:rFonts w:ascii="Arial" w:eastAsia="Arial" w:hAnsi="Arial" w:cs="Arial"/>
          <w:sz w:val="18"/>
          <w:lang w:val="ru-RU"/>
        </w:rPr>
        <w:t xml:space="preserve"> изготовлены на основе лиофилизата сыворотки человека. Концентрации и активности аналитов подобраны таким образом, чтобы они подходили для калибровки биохимических методов на различных автоматических анализаторах.</w:t>
      </w:r>
    </w:p>
    <w:p w14:paraId="130C2E27" w14:textId="77777777" w:rsidR="00670365" w:rsidRPr="004C47E0" w:rsidRDefault="00670365" w:rsidP="00670365">
      <w:pPr>
        <w:spacing w:after="0"/>
        <w:ind w:left="-5" w:hanging="10"/>
        <w:rPr>
          <w:lang w:val="ru-RU"/>
        </w:rPr>
      </w:pPr>
      <w:r>
        <w:rPr>
          <w:rFonts w:ascii="Arial" w:eastAsia="Arial" w:hAnsi="Arial" w:cs="Arial"/>
          <w:b/>
          <w:sz w:val="18"/>
          <w:lang w:val="ru-RU"/>
        </w:rPr>
        <w:t>ХРАНЕНИЕ И СТАБИЛЬНОСТЬ</w:t>
      </w:r>
    </w:p>
    <w:p w14:paraId="55535AAB" w14:textId="2EA90711" w:rsidR="00670365" w:rsidRDefault="00670365" w:rsidP="00670365">
      <w:pPr>
        <w:spacing w:after="3" w:line="251" w:lineRule="auto"/>
        <w:ind w:left="-5" w:hanging="10"/>
      </w:pPr>
      <w:r>
        <w:rPr>
          <w:rFonts w:ascii="Arial" w:eastAsia="Arial" w:hAnsi="Arial" w:cs="Arial"/>
          <w:sz w:val="18"/>
          <w:lang w:val="ru-RU"/>
        </w:rPr>
        <w:t>Не</w:t>
      </w:r>
      <w:r w:rsidR="00F010FC">
        <w:rPr>
          <w:rFonts w:ascii="Arial" w:eastAsia="Arial" w:hAnsi="Arial" w:cs="Arial"/>
          <w:sz w:val="18"/>
          <w:lang w:val="ru-RU"/>
        </w:rPr>
        <w:t xml:space="preserve"> </w:t>
      </w:r>
      <w:r>
        <w:rPr>
          <w:rFonts w:ascii="Arial" w:eastAsia="Arial" w:hAnsi="Arial" w:cs="Arial"/>
          <w:sz w:val="18"/>
          <w:lang w:val="ru-RU"/>
        </w:rPr>
        <w:t xml:space="preserve">восстановленная </w:t>
      </w:r>
      <w:r w:rsidR="00F010FC">
        <w:rPr>
          <w:rFonts w:ascii="Arial" w:eastAsia="Arial" w:hAnsi="Arial" w:cs="Arial"/>
          <w:sz w:val="18"/>
          <w:lang w:val="ru-RU"/>
        </w:rPr>
        <w:t xml:space="preserve">из лиофилизата </w:t>
      </w:r>
      <w:r>
        <w:rPr>
          <w:rFonts w:ascii="Arial" w:eastAsia="Arial" w:hAnsi="Arial" w:cs="Arial"/>
          <w:sz w:val="18"/>
          <w:lang w:val="ru-RU"/>
        </w:rPr>
        <w:t>сыворотка</w:t>
      </w:r>
      <w:r>
        <w:rPr>
          <w:rFonts w:ascii="Arial" w:eastAsia="Arial" w:hAnsi="Arial" w:cs="Arial"/>
          <w:sz w:val="18"/>
          <w:lang w:val="ru-RU"/>
        </w:rPr>
        <w:t xml:space="preserve"> </w:t>
      </w:r>
      <w:r w:rsidR="00D52F34">
        <w:rPr>
          <w:rFonts w:ascii="Arial" w:eastAsia="Arial" w:hAnsi="Arial" w:cs="Arial"/>
          <w:sz w:val="18"/>
        </w:rPr>
        <w:t>стабильна</w:t>
      </w:r>
      <w:r w:rsidRPr="009B40DC">
        <w:rPr>
          <w:rFonts w:ascii="Arial" w:eastAsia="Arial" w:hAnsi="Arial" w:cs="Arial"/>
          <w:sz w:val="18"/>
        </w:rPr>
        <w:t xml:space="preserve"> вплоть до окончания срока годности</w:t>
      </w:r>
      <w:r w:rsidR="00E90877">
        <w:rPr>
          <w:rFonts w:ascii="Arial" w:eastAsia="Arial" w:hAnsi="Arial" w:cs="Arial"/>
          <w:sz w:val="18"/>
          <w:lang w:val="ru-RU"/>
        </w:rPr>
        <w:t xml:space="preserve">, указанного на каждом отдельном флаконе. После </w:t>
      </w:r>
      <w:r w:rsidR="00D52F34">
        <w:rPr>
          <w:rFonts w:ascii="Arial" w:eastAsia="Arial" w:hAnsi="Arial" w:cs="Arial"/>
          <w:sz w:val="18"/>
          <w:lang w:val="ru-RU"/>
        </w:rPr>
        <w:t>восстановления компоненты калибровочной сыворотки стабильны в течение 8 часов при температуре 20-25</w:t>
      </w:r>
      <w:r w:rsidR="00D52F34" w:rsidRPr="009B40DC">
        <w:rPr>
          <w:rFonts w:ascii="Arial" w:eastAsia="Arial" w:hAnsi="Arial" w:cs="Arial"/>
          <w:sz w:val="18"/>
        </w:rPr>
        <w:t>°C</w:t>
      </w:r>
      <w:r w:rsidR="00D52F34">
        <w:rPr>
          <w:rFonts w:ascii="Arial" w:eastAsia="Arial" w:hAnsi="Arial" w:cs="Arial"/>
          <w:sz w:val="18"/>
          <w:lang w:val="ru-RU"/>
        </w:rPr>
        <w:t>, 7 дней</w:t>
      </w:r>
      <w:r w:rsidRPr="009B40DC">
        <w:rPr>
          <w:rFonts w:ascii="Arial" w:eastAsia="Arial" w:hAnsi="Arial" w:cs="Arial"/>
          <w:sz w:val="18"/>
        </w:rPr>
        <w:t xml:space="preserve"> при 2-8 °C</w:t>
      </w:r>
      <w:r w:rsidR="00D52F34">
        <w:rPr>
          <w:rFonts w:ascii="Arial" w:eastAsia="Arial" w:hAnsi="Arial" w:cs="Arial"/>
          <w:sz w:val="18"/>
          <w:lang w:val="ru-RU"/>
        </w:rPr>
        <w:t xml:space="preserve"> и 1 месяц при -20</w:t>
      </w:r>
      <w:r w:rsidR="00D52F34" w:rsidRPr="009B40DC">
        <w:rPr>
          <w:rFonts w:ascii="Arial" w:eastAsia="Arial" w:hAnsi="Arial" w:cs="Arial"/>
          <w:sz w:val="18"/>
        </w:rPr>
        <w:t>°C</w:t>
      </w:r>
      <w:r w:rsidR="00D52F34">
        <w:rPr>
          <w:rFonts w:ascii="Arial" w:eastAsia="Arial" w:hAnsi="Arial" w:cs="Arial"/>
          <w:sz w:val="18"/>
          <w:lang w:val="ru-RU"/>
        </w:rPr>
        <w:t xml:space="preserve"> в замороженном состоянии</w:t>
      </w:r>
      <w:r w:rsidRPr="009B40DC"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sz w:val="18"/>
        </w:rPr>
        <w:t xml:space="preserve"> </w:t>
      </w:r>
    </w:p>
    <w:p w14:paraId="5EA30FE8" w14:textId="77777777" w:rsidR="00670365" w:rsidRDefault="00670365">
      <w:pPr>
        <w:spacing w:after="0"/>
        <w:ind w:left="-5" w:hanging="10"/>
        <w:rPr>
          <w:rFonts w:ascii="Arial" w:eastAsia="DengXian" w:hAnsi="Arial" w:cs="Arial"/>
          <w:b/>
          <w:sz w:val="18"/>
          <w:lang w:val="ru-RU"/>
        </w:rPr>
      </w:pPr>
    </w:p>
    <w:p w14:paraId="37B3FA1E" w14:textId="56993E31" w:rsidR="00366D2F" w:rsidRPr="00FB7219" w:rsidRDefault="00D52F34">
      <w:pPr>
        <w:spacing w:after="0"/>
        <w:ind w:left="-5" w:hanging="10"/>
        <w:rPr>
          <w:lang w:val="ru-RU"/>
        </w:rPr>
      </w:pPr>
      <w:r>
        <w:rPr>
          <w:rFonts w:ascii="Arial" w:eastAsia="Arial" w:hAnsi="Arial" w:cs="Arial"/>
          <w:b/>
          <w:sz w:val="18"/>
          <w:lang w:val="ru-RU"/>
        </w:rPr>
        <w:t>ПОДГОТОВКА К ИСПОЛЬЗОВАНИЮ</w:t>
      </w:r>
    </w:p>
    <w:p w14:paraId="104F0EEE" w14:textId="499A3349" w:rsidR="009B40DC" w:rsidRDefault="00D52F34">
      <w:pPr>
        <w:spacing w:after="0"/>
        <w:ind w:left="-5" w:hanging="10"/>
        <w:rPr>
          <w:rFonts w:ascii="Arial" w:eastAsia="Arial" w:hAnsi="Arial" w:cs="Arial"/>
          <w:sz w:val="18"/>
          <w:lang w:val="ru-RU"/>
        </w:rPr>
      </w:pPr>
      <w:r>
        <w:rPr>
          <w:rFonts w:ascii="Arial" w:eastAsia="Arial" w:hAnsi="Arial" w:cs="Arial"/>
          <w:sz w:val="18"/>
          <w:lang w:val="ru-RU"/>
        </w:rPr>
        <w:t>Для восстано</w:t>
      </w:r>
      <w:r w:rsidR="00BB5B81">
        <w:rPr>
          <w:rFonts w:ascii="Arial" w:eastAsia="Arial" w:hAnsi="Arial" w:cs="Arial"/>
          <w:sz w:val="18"/>
          <w:lang w:val="ru-RU"/>
        </w:rPr>
        <w:t>вления сыворотки из лиофилизата должна быть использована следующая процедура:</w:t>
      </w:r>
    </w:p>
    <w:p w14:paraId="3BAE4FEF" w14:textId="6E553B16" w:rsidR="00BB5B81" w:rsidRPr="00BB5B81" w:rsidRDefault="00BB5B81" w:rsidP="00BB5B81">
      <w:pPr>
        <w:pStyle w:val="a3"/>
        <w:numPr>
          <w:ilvl w:val="0"/>
          <w:numId w:val="2"/>
        </w:num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lang w:val="ru-RU"/>
        </w:rPr>
        <w:t>Осторожно откройте флакон, чтобы избежать каких-либо потерь вещества.</w:t>
      </w:r>
    </w:p>
    <w:p w14:paraId="56C8B3B3" w14:textId="0CC80F57" w:rsidR="00BB5B81" w:rsidRPr="00BB5B81" w:rsidRDefault="00BB5B81" w:rsidP="00BB5B81">
      <w:pPr>
        <w:pStyle w:val="a3"/>
        <w:numPr>
          <w:ilvl w:val="0"/>
          <w:numId w:val="2"/>
        </w:numPr>
        <w:spacing w:after="0"/>
        <w:rPr>
          <w:rFonts w:ascii="Arial" w:eastAsia="Arial" w:hAnsi="Arial" w:cs="Arial"/>
          <w:sz w:val="18"/>
          <w:szCs w:val="18"/>
        </w:rPr>
      </w:pPr>
      <w:r w:rsidRPr="00BB5B81">
        <w:rPr>
          <w:rFonts w:ascii="Arial" w:eastAsia="DengXian" w:hAnsi="Arial" w:cs="Arial"/>
          <w:sz w:val="18"/>
          <w:szCs w:val="18"/>
          <w:lang w:val="ru-RU"/>
        </w:rPr>
        <w:t>Восстановите калибратор из лиофилизата</w:t>
      </w:r>
      <w:r>
        <w:rPr>
          <w:rFonts w:ascii="Arial" w:eastAsia="DengXian" w:hAnsi="Arial" w:cs="Arial"/>
          <w:sz w:val="18"/>
          <w:szCs w:val="18"/>
          <w:lang w:val="ru-RU"/>
        </w:rPr>
        <w:t xml:space="preserve">, добавив во флакон строго 5 мл дистиллированной воды при </w:t>
      </w:r>
      <w:r>
        <w:rPr>
          <w:rFonts w:ascii="Arial" w:eastAsia="Arial" w:hAnsi="Arial" w:cs="Arial"/>
          <w:sz w:val="18"/>
          <w:lang w:val="ru-RU"/>
        </w:rPr>
        <w:t>20-25</w:t>
      </w:r>
      <w:r w:rsidRPr="009B40DC">
        <w:rPr>
          <w:rFonts w:ascii="Arial" w:eastAsia="Arial" w:hAnsi="Arial" w:cs="Arial"/>
          <w:sz w:val="18"/>
        </w:rPr>
        <w:t>°C</w:t>
      </w:r>
      <w:r>
        <w:rPr>
          <w:rFonts w:ascii="Arial" w:eastAsia="Arial" w:hAnsi="Arial" w:cs="Arial"/>
          <w:sz w:val="18"/>
          <w:lang w:val="ru-RU"/>
        </w:rPr>
        <w:t>.</w:t>
      </w:r>
    </w:p>
    <w:p w14:paraId="72013429" w14:textId="77DEA136" w:rsidR="00BB5B81" w:rsidRPr="00BB5B81" w:rsidRDefault="00BB5B81" w:rsidP="00BB5B81">
      <w:pPr>
        <w:pStyle w:val="a3"/>
        <w:numPr>
          <w:ilvl w:val="0"/>
          <w:numId w:val="2"/>
        </w:numPr>
        <w:spacing w:after="0"/>
        <w:rPr>
          <w:rFonts w:ascii="Arial" w:eastAsia="Arial" w:hAnsi="Arial" w:cs="Arial"/>
          <w:sz w:val="18"/>
          <w:szCs w:val="18"/>
        </w:rPr>
      </w:pPr>
      <w:r w:rsidRPr="00BB5B81">
        <w:rPr>
          <w:rFonts w:ascii="Arial" w:eastAsia="DengXian" w:hAnsi="Arial" w:cs="Arial"/>
          <w:sz w:val="18"/>
          <w:lang w:val="ru-RU"/>
        </w:rPr>
        <w:t>Замените резиновую пробку</w:t>
      </w:r>
      <w:r>
        <w:rPr>
          <w:rFonts w:ascii="Arial" w:eastAsia="DengXian" w:hAnsi="Arial" w:cs="Arial"/>
          <w:sz w:val="18"/>
          <w:lang w:val="ru-RU"/>
        </w:rPr>
        <w:t xml:space="preserve"> и оставьте на 30 минут в отсутствие яркого света.</w:t>
      </w:r>
    </w:p>
    <w:p w14:paraId="32DB83A9" w14:textId="4D3D856C" w:rsidR="00BB5B81" w:rsidRPr="00BB5B81" w:rsidRDefault="00BB5B81" w:rsidP="00BB5B81">
      <w:pPr>
        <w:pStyle w:val="a3"/>
        <w:numPr>
          <w:ilvl w:val="0"/>
          <w:numId w:val="2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DengXian" w:hAnsi="Arial" w:cs="Arial"/>
          <w:sz w:val="18"/>
          <w:lang w:val="ru-RU"/>
        </w:rPr>
        <w:t>Осторожно перемешайте несколько раз путем вращения флакона, пока содержимое не растворится полностью.</w:t>
      </w:r>
    </w:p>
    <w:p w14:paraId="4C347040" w14:textId="18507053" w:rsidR="00BB5B81" w:rsidRPr="00521F53" w:rsidRDefault="00BB5B81" w:rsidP="00BB5B81">
      <w:pPr>
        <w:pStyle w:val="a3"/>
        <w:numPr>
          <w:ilvl w:val="0"/>
          <w:numId w:val="2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DengXian" w:hAnsi="Arial" w:cs="Arial"/>
          <w:sz w:val="18"/>
          <w:lang w:val="ru-RU"/>
        </w:rPr>
        <w:t>Непосредственно п</w:t>
      </w:r>
      <w:r w:rsidRPr="00BB5B81">
        <w:rPr>
          <w:rFonts w:ascii="Arial" w:eastAsia="DengXian" w:hAnsi="Arial" w:cs="Arial"/>
          <w:sz w:val="18"/>
          <w:lang w:val="ru-RU"/>
        </w:rPr>
        <w:t>еред использованием</w:t>
      </w:r>
      <w:r>
        <w:rPr>
          <w:rFonts w:ascii="Arial" w:eastAsia="DengXian" w:hAnsi="Arial" w:cs="Arial"/>
          <w:sz w:val="18"/>
          <w:lang w:val="ru-RU"/>
        </w:rPr>
        <w:t xml:space="preserve"> перемешайте содержимое, переворачивая флакон. Не встряхивайте флакон, чтобы избежать образования пен</w:t>
      </w:r>
      <w:r w:rsidR="00521F53">
        <w:rPr>
          <w:rFonts w:ascii="Arial" w:eastAsia="DengXian" w:hAnsi="Arial" w:cs="Arial"/>
          <w:sz w:val="18"/>
          <w:lang w:val="ru-RU"/>
        </w:rPr>
        <w:t>ы. Убедитесь, что не осталось лиофилизата.</w:t>
      </w:r>
    </w:p>
    <w:p w14:paraId="60F1F1BF" w14:textId="4C0C6B7F" w:rsidR="00521F53" w:rsidRPr="00521F53" w:rsidRDefault="00521F53" w:rsidP="00BB5B81">
      <w:pPr>
        <w:pStyle w:val="a3"/>
        <w:numPr>
          <w:ilvl w:val="0"/>
          <w:numId w:val="2"/>
        </w:numPr>
        <w:spacing w:after="0"/>
        <w:rPr>
          <w:rFonts w:ascii="Arial" w:eastAsia="Arial" w:hAnsi="Arial" w:cs="Arial"/>
          <w:sz w:val="18"/>
          <w:szCs w:val="18"/>
        </w:rPr>
      </w:pPr>
      <w:r w:rsidRPr="00521F53">
        <w:rPr>
          <w:rFonts w:ascii="Arial" w:eastAsia="DengXian" w:hAnsi="Arial" w:cs="Arial"/>
          <w:sz w:val="18"/>
          <w:lang w:val="ru-RU"/>
        </w:rPr>
        <w:t>Сыворотка</w:t>
      </w:r>
      <w:r>
        <w:rPr>
          <w:rFonts w:ascii="Arial" w:eastAsia="DengXian" w:hAnsi="Arial" w:cs="Arial"/>
          <w:sz w:val="18"/>
          <w:lang w:val="ru-RU"/>
        </w:rPr>
        <w:t xml:space="preserve"> </w:t>
      </w:r>
      <w:r w:rsidRPr="00521F53">
        <w:rPr>
          <w:rFonts w:ascii="Arial" w:eastAsia="DengXian" w:hAnsi="Arial" w:cs="Arial"/>
          <w:sz w:val="18"/>
          <w:lang w:val="ru-RU"/>
        </w:rPr>
        <w:t>готова к</w:t>
      </w:r>
      <w:r>
        <w:rPr>
          <w:rFonts w:ascii="Arial" w:eastAsia="DengXian" w:hAnsi="Arial" w:cs="Arial"/>
          <w:sz w:val="18"/>
          <w:lang w:val="ru-RU"/>
        </w:rPr>
        <w:t xml:space="preserve"> применению</w:t>
      </w:r>
      <w:r w:rsidRPr="00521F53">
        <w:rPr>
          <w:rFonts w:ascii="Arial" w:eastAsia="DengXian" w:hAnsi="Arial" w:cs="Arial"/>
          <w:sz w:val="18"/>
          <w:lang w:val="ru-RU"/>
        </w:rPr>
        <w:t xml:space="preserve"> </w:t>
      </w:r>
      <w:r>
        <w:rPr>
          <w:rFonts w:ascii="Arial" w:eastAsia="DengXian" w:hAnsi="Arial" w:cs="Arial"/>
          <w:sz w:val="18"/>
          <w:lang w:val="ru-RU"/>
        </w:rPr>
        <w:t>как с</w:t>
      </w:r>
      <w:r w:rsidRPr="00521F53">
        <w:rPr>
          <w:rFonts w:ascii="Arial" w:eastAsia="DengXian" w:hAnsi="Arial" w:cs="Arial"/>
          <w:sz w:val="18"/>
          <w:lang w:val="ru-RU"/>
        </w:rPr>
        <w:t xml:space="preserve"> </w:t>
      </w:r>
      <w:r w:rsidRPr="00521F53">
        <w:rPr>
          <w:rFonts w:ascii="Arial" w:eastAsia="DengXian" w:hAnsi="Arial" w:cs="Arial"/>
          <w:sz w:val="18"/>
          <w:lang w:val="ru-RU"/>
        </w:rPr>
        <w:t>использовани</w:t>
      </w:r>
      <w:r>
        <w:rPr>
          <w:rFonts w:ascii="Arial" w:eastAsia="DengXian" w:hAnsi="Arial" w:cs="Arial"/>
          <w:sz w:val="18"/>
          <w:lang w:val="ru-RU"/>
        </w:rPr>
        <w:t>ем ручных методов, так и автоматических анализаторов.</w:t>
      </w:r>
    </w:p>
    <w:p w14:paraId="47B08795" w14:textId="77777777" w:rsidR="009B40DC" w:rsidRDefault="009B40DC">
      <w:pPr>
        <w:spacing w:after="0"/>
        <w:ind w:left="-5" w:hanging="10"/>
        <w:rPr>
          <w:rFonts w:ascii="Arial" w:eastAsia="Arial" w:hAnsi="Arial" w:cs="Arial"/>
          <w:sz w:val="18"/>
        </w:rPr>
      </w:pPr>
    </w:p>
    <w:p w14:paraId="0CE3497B" w14:textId="004CEB46" w:rsidR="00366D2F" w:rsidRPr="00670365" w:rsidRDefault="00670365">
      <w:pPr>
        <w:spacing w:after="0"/>
        <w:rPr>
          <w:b/>
          <w:lang w:val="ru-RU"/>
        </w:rPr>
      </w:pPr>
      <w:r w:rsidRPr="00670365">
        <w:rPr>
          <w:b/>
          <w:lang w:val="ru-RU"/>
        </w:rPr>
        <w:t>АНАЛИТЫ</w:t>
      </w:r>
    </w:p>
    <w:p w14:paraId="21AC18DC" w14:textId="2D23A8CC" w:rsidR="00670365" w:rsidRDefault="00670365" w:rsidP="00670365">
      <w:pPr>
        <w:pStyle w:val="1"/>
        <w:ind w:left="-5"/>
        <w:jc w:val="center"/>
        <w:rPr>
          <w:lang w:val="ru-RU"/>
        </w:rPr>
      </w:pPr>
      <w:r w:rsidRPr="00670365">
        <w:rPr>
          <w:lang w:val="ru-RU"/>
        </w:rPr>
        <w:drawing>
          <wp:inline distT="0" distB="0" distL="0" distR="0" wp14:anchorId="4C0F717A" wp14:editId="07812739">
            <wp:extent cx="2448267" cy="139084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641A" w14:textId="77777777" w:rsidR="00670365" w:rsidRDefault="00670365">
      <w:pPr>
        <w:pStyle w:val="1"/>
        <w:ind w:left="-5"/>
        <w:rPr>
          <w:lang w:val="ru-RU"/>
        </w:rPr>
      </w:pPr>
    </w:p>
    <w:p w14:paraId="51B1C74F" w14:textId="2FE2E444" w:rsidR="00670365" w:rsidRDefault="005818DB">
      <w:pPr>
        <w:pStyle w:val="1"/>
        <w:ind w:left="-5"/>
        <w:rPr>
          <w:lang w:val="ru-RU"/>
        </w:rPr>
      </w:pPr>
      <w:r>
        <w:rPr>
          <w:lang w:val="ru-RU"/>
        </w:rPr>
        <w:t>ОГРАНИЧЕНИЯ В ИСПОЛЬЗОВАНИИ</w:t>
      </w:r>
    </w:p>
    <w:p w14:paraId="2E5BD361" w14:textId="28940E1E" w:rsidR="005818DB" w:rsidRDefault="00E90877" w:rsidP="00BB5B81">
      <w:pPr>
        <w:pStyle w:val="a3"/>
        <w:numPr>
          <w:ilvl w:val="0"/>
          <w:numId w:val="1"/>
        </w:numPr>
        <w:ind w:left="426"/>
        <w:rPr>
          <w:lang w:val="ru-RU" w:eastAsia="en-GB" w:bidi="ar-SA"/>
        </w:rPr>
      </w:pPr>
      <w:r>
        <w:rPr>
          <w:lang w:val="ru-RU" w:eastAsia="en-GB" w:bidi="ar-SA"/>
        </w:rPr>
        <w:t>После восстановления из лиофилизата</w:t>
      </w:r>
      <w:r w:rsidR="005818DB">
        <w:rPr>
          <w:lang w:val="ru-RU" w:eastAsia="en-GB" w:bidi="ar-SA"/>
        </w:rPr>
        <w:t xml:space="preserve"> бикарбонат стабилен в течение 8 часов в закрытом флаконе и в течении 1 часа в открытом.</w:t>
      </w:r>
    </w:p>
    <w:p w14:paraId="5457C96E" w14:textId="336494E0" w:rsidR="005818DB" w:rsidRPr="005818DB" w:rsidRDefault="005818DB" w:rsidP="00BB5B81">
      <w:pPr>
        <w:pStyle w:val="a3"/>
        <w:numPr>
          <w:ilvl w:val="0"/>
          <w:numId w:val="1"/>
        </w:numPr>
        <w:ind w:left="426"/>
        <w:rPr>
          <w:lang w:val="ru-RU" w:eastAsia="en-GB" w:bidi="ar-SA"/>
        </w:rPr>
      </w:pPr>
      <w:r>
        <w:rPr>
          <w:lang w:val="ru-RU" w:eastAsia="en-GB" w:bidi="ar-SA"/>
        </w:rPr>
        <w:t xml:space="preserve">Уровни щелочной фосфатазы в размороженной сыворотке будут возрастать в течение периода стабильности. Перед началом измерений рекомендуется выдержать размороженную сыворотку в течение 1 часа при </w:t>
      </w:r>
      <w:r>
        <w:rPr>
          <w:rFonts w:ascii="Arial" w:eastAsia="Arial" w:hAnsi="Arial" w:cs="Arial"/>
          <w:sz w:val="18"/>
          <w:lang w:val="ru-RU"/>
        </w:rPr>
        <w:t>25</w:t>
      </w:r>
      <w:r w:rsidRPr="009B40DC">
        <w:rPr>
          <w:rFonts w:ascii="Arial" w:eastAsia="Arial" w:hAnsi="Arial" w:cs="Arial"/>
          <w:sz w:val="18"/>
        </w:rPr>
        <w:t>°C</w:t>
      </w:r>
      <w:r>
        <w:rPr>
          <w:rFonts w:ascii="Arial" w:eastAsia="Arial" w:hAnsi="Arial" w:cs="Arial"/>
          <w:sz w:val="18"/>
          <w:lang w:val="ru-RU"/>
        </w:rPr>
        <w:t>.</w:t>
      </w:r>
    </w:p>
    <w:p w14:paraId="34B0154A" w14:textId="346B6FDF" w:rsidR="005818DB" w:rsidRPr="007D042A" w:rsidRDefault="005818DB" w:rsidP="00BB5B81">
      <w:pPr>
        <w:pStyle w:val="a3"/>
        <w:numPr>
          <w:ilvl w:val="0"/>
          <w:numId w:val="1"/>
        </w:numPr>
        <w:ind w:left="426"/>
        <w:rPr>
          <w:lang w:val="ru-RU" w:eastAsia="en-GB" w:bidi="ar-SA"/>
        </w:rPr>
      </w:pPr>
      <w:r>
        <w:rPr>
          <w:rFonts w:ascii="Arial" w:eastAsia="Arial" w:hAnsi="Arial" w:cs="Arial"/>
          <w:sz w:val="18"/>
          <w:lang w:val="ru-RU"/>
        </w:rPr>
        <w:t>Билирубин в сыворотке проявляет светочувствительность, и поэтому рекомендуется хранить сыворотку в темноте. При условии хранения в темноте сыворотка стабильна в течение 1 дня при +4</w:t>
      </w:r>
      <w:r w:rsidRPr="009B40DC">
        <w:rPr>
          <w:rFonts w:ascii="Arial" w:eastAsia="Arial" w:hAnsi="Arial" w:cs="Arial"/>
          <w:sz w:val="18"/>
        </w:rPr>
        <w:t>°C</w:t>
      </w:r>
      <w:r>
        <w:rPr>
          <w:rFonts w:ascii="Arial" w:eastAsia="Arial" w:hAnsi="Arial" w:cs="Arial"/>
          <w:sz w:val="18"/>
          <w:lang w:val="ru-RU"/>
        </w:rPr>
        <w:t>. Не хранить при 15</w:t>
      </w:r>
      <w:r w:rsidRPr="009B40DC">
        <w:rPr>
          <w:rFonts w:ascii="Arial" w:eastAsia="Arial" w:hAnsi="Arial" w:cs="Arial"/>
          <w:sz w:val="18"/>
        </w:rPr>
        <w:t>-</w:t>
      </w:r>
      <w:r>
        <w:rPr>
          <w:rFonts w:ascii="Arial" w:eastAsia="Arial" w:hAnsi="Arial" w:cs="Arial"/>
          <w:sz w:val="18"/>
          <w:lang w:val="ru-RU"/>
        </w:rPr>
        <w:t>25</w:t>
      </w:r>
      <w:r w:rsidRPr="009B40DC">
        <w:rPr>
          <w:rFonts w:ascii="Arial" w:eastAsia="Arial" w:hAnsi="Arial" w:cs="Arial"/>
          <w:sz w:val="18"/>
        </w:rPr>
        <w:t>°C</w:t>
      </w:r>
      <w:r w:rsidR="007D042A">
        <w:rPr>
          <w:rFonts w:ascii="Arial" w:eastAsia="Arial" w:hAnsi="Arial" w:cs="Arial"/>
          <w:sz w:val="18"/>
          <w:lang w:val="ru-RU"/>
        </w:rPr>
        <w:t>. Не замораживать повторно.</w:t>
      </w:r>
    </w:p>
    <w:p w14:paraId="18AF80C7" w14:textId="77F09BDB" w:rsidR="007D042A" w:rsidRPr="007D042A" w:rsidRDefault="007D042A" w:rsidP="00BB5B81">
      <w:pPr>
        <w:pStyle w:val="a3"/>
        <w:numPr>
          <w:ilvl w:val="0"/>
          <w:numId w:val="1"/>
        </w:numPr>
        <w:ind w:left="426"/>
        <w:rPr>
          <w:lang w:val="ru-RU" w:eastAsia="en-GB" w:bidi="ar-SA"/>
        </w:rPr>
      </w:pPr>
      <w:r>
        <w:rPr>
          <w:rFonts w:ascii="Arial" w:eastAsia="Arial" w:hAnsi="Arial" w:cs="Arial"/>
          <w:sz w:val="18"/>
          <w:lang w:val="ru-RU"/>
        </w:rPr>
        <w:t>Бактериальное загрязнение размороженной сыворотки может вызвать снижение стабильности многих компонентов.</w:t>
      </w:r>
    </w:p>
    <w:p w14:paraId="64980DCD" w14:textId="5926121B" w:rsidR="007D042A" w:rsidRPr="007D042A" w:rsidRDefault="007D042A" w:rsidP="00BB5B81">
      <w:pPr>
        <w:pStyle w:val="a3"/>
        <w:numPr>
          <w:ilvl w:val="0"/>
          <w:numId w:val="1"/>
        </w:numPr>
        <w:ind w:left="426"/>
        <w:rPr>
          <w:lang w:val="ru-RU" w:eastAsia="en-GB" w:bidi="ar-SA"/>
        </w:rPr>
      </w:pPr>
      <w:r>
        <w:rPr>
          <w:rFonts w:ascii="Arial" w:eastAsia="Arial" w:hAnsi="Arial" w:cs="Arial"/>
          <w:sz w:val="18"/>
          <w:lang w:val="ru-RU"/>
        </w:rPr>
        <w:t>Различные лоты калибратора не являются взаимозаменяемыми, так как значения параметров различаются от лота к лоту.</w:t>
      </w:r>
    </w:p>
    <w:p w14:paraId="68801355" w14:textId="25985E41" w:rsidR="007D042A" w:rsidRDefault="007D042A" w:rsidP="007D042A">
      <w:pPr>
        <w:rPr>
          <w:b/>
          <w:lang w:val="ru-RU" w:eastAsia="en-GB" w:bidi="ar-SA"/>
        </w:rPr>
      </w:pPr>
      <w:r w:rsidRPr="007D042A">
        <w:rPr>
          <w:b/>
          <w:lang w:val="ru-RU" w:eastAsia="en-GB" w:bidi="ar-SA"/>
        </w:rPr>
        <w:lastRenderedPageBreak/>
        <w:t>СПЕЦИФИЧЕСКИЕ РАБОЧИЕ ХАРАКТЕРИСТИКИ</w:t>
      </w:r>
    </w:p>
    <w:p w14:paraId="6164B775" w14:textId="622F704F" w:rsidR="007D042A" w:rsidRDefault="007D042A" w:rsidP="007D042A">
      <w:pPr>
        <w:rPr>
          <w:b/>
          <w:lang w:val="ru-RU" w:eastAsia="en-GB" w:bidi="ar-SA"/>
        </w:rPr>
      </w:pPr>
      <w:r>
        <w:rPr>
          <w:b/>
          <w:lang w:val="ru-RU" w:eastAsia="en-GB" w:bidi="ar-SA"/>
        </w:rPr>
        <w:t>ТОЧНОСТЬ</w:t>
      </w:r>
    </w:p>
    <w:p w14:paraId="50F461BD" w14:textId="01D28A90" w:rsidR="007D042A" w:rsidRPr="007D042A" w:rsidRDefault="007D042A" w:rsidP="007D042A">
      <w:pPr>
        <w:rPr>
          <w:lang w:val="ru-RU" w:eastAsia="en-GB" w:bidi="ar-SA"/>
        </w:rPr>
      </w:pPr>
      <w:r>
        <w:rPr>
          <w:lang w:val="en-US" w:eastAsia="en-GB" w:bidi="ar-SA"/>
        </w:rPr>
        <w:t>CV</w:t>
      </w:r>
      <w:r w:rsidRPr="007D042A">
        <w:rPr>
          <w:lang w:val="ru-RU" w:eastAsia="en-GB" w:bidi="ar-SA"/>
        </w:rPr>
        <w:t xml:space="preserve"> </w:t>
      </w:r>
      <w:r>
        <w:rPr>
          <w:lang w:val="ru-RU" w:eastAsia="en-GB" w:bidi="ar-SA"/>
        </w:rPr>
        <w:t xml:space="preserve">для калибровочной сыворотки </w:t>
      </w:r>
      <w:r w:rsidR="00521F53">
        <w:rPr>
          <w:lang w:val="ru-RU" w:eastAsia="en-GB" w:bidi="ar-SA"/>
        </w:rPr>
        <w:t xml:space="preserve">должно </w:t>
      </w:r>
      <w:r>
        <w:rPr>
          <w:lang w:val="ru-RU" w:eastAsia="en-GB" w:bidi="ar-SA"/>
        </w:rPr>
        <w:t>составля</w:t>
      </w:r>
      <w:r w:rsidR="00521F53">
        <w:rPr>
          <w:lang w:val="ru-RU" w:eastAsia="en-GB" w:bidi="ar-SA"/>
        </w:rPr>
        <w:t>ть</w:t>
      </w:r>
      <w:r>
        <w:rPr>
          <w:lang w:val="ru-RU" w:eastAsia="en-GB" w:bidi="ar-SA"/>
        </w:rPr>
        <w:t xml:space="preserve"> </w:t>
      </w:r>
      <w:r>
        <w:rPr>
          <w:rFonts w:ascii="Yu Gothic UI Semilight" w:eastAsia="Yu Gothic UI Semilight" w:hAnsi="Yu Gothic UI Semilight" w:hint="eastAsia"/>
          <w:lang w:val="ru-RU" w:eastAsia="en-GB" w:bidi="ar-SA"/>
        </w:rPr>
        <w:t>≤</w:t>
      </w:r>
      <w:r w:rsidRPr="007D042A">
        <w:rPr>
          <w:rFonts w:ascii="Times New Roman" w:eastAsia="Yu Gothic UI Semilight" w:hAnsi="Times New Roman" w:cs="Times New Roman"/>
          <w:lang w:val="ru-RU" w:eastAsia="en-GB" w:bidi="ar-SA"/>
        </w:rPr>
        <w:t>5%</w:t>
      </w:r>
      <w:r w:rsidR="00521F53">
        <w:rPr>
          <w:rFonts w:ascii="Times New Roman" w:eastAsia="Yu Gothic UI Semilight" w:hAnsi="Times New Roman" w:cs="Times New Roman"/>
          <w:lang w:val="ru-RU" w:eastAsia="en-GB" w:bidi="ar-SA"/>
        </w:rPr>
        <w:t>.</w:t>
      </w:r>
    </w:p>
    <w:p w14:paraId="79D3B926" w14:textId="77777777" w:rsidR="00670365" w:rsidRDefault="00670365">
      <w:pPr>
        <w:pStyle w:val="1"/>
        <w:ind w:left="-5"/>
        <w:rPr>
          <w:lang w:val="ru-RU"/>
        </w:rPr>
      </w:pPr>
    </w:p>
    <w:p w14:paraId="06869F5F" w14:textId="2C37F58C" w:rsidR="00366D2F" w:rsidRDefault="00FB7219">
      <w:pPr>
        <w:pStyle w:val="1"/>
        <w:ind w:left="-5"/>
      </w:pPr>
      <w:r>
        <w:rPr>
          <w:lang w:val="ru-RU"/>
        </w:rPr>
        <w:t>МЕРЫ ПРЕДОСТОРОЖНОСТИ</w:t>
      </w:r>
      <w:r w:rsidR="00E71902">
        <w:rPr>
          <w:b w:val="0"/>
        </w:rPr>
        <w:t xml:space="preserve"> </w:t>
      </w:r>
    </w:p>
    <w:p w14:paraId="1A6F1A22" w14:textId="77777777" w:rsidR="00521F53" w:rsidRDefault="00521F53">
      <w:pPr>
        <w:spacing w:after="3" w:line="251" w:lineRule="auto"/>
        <w:ind w:left="-5" w:hanging="10"/>
        <w:rPr>
          <w:rFonts w:ascii="Arial" w:eastAsia="Arial" w:hAnsi="Arial" w:cs="Arial"/>
          <w:sz w:val="18"/>
          <w:lang w:val="ru-RU"/>
        </w:rPr>
      </w:pPr>
      <w:r>
        <w:rPr>
          <w:rFonts w:ascii="Arial" w:eastAsia="Arial" w:hAnsi="Arial" w:cs="Arial"/>
          <w:sz w:val="18"/>
          <w:lang w:val="ru-RU"/>
        </w:rPr>
        <w:t>И</w:t>
      </w:r>
      <w:r w:rsidR="007D042A" w:rsidRPr="009B40DC">
        <w:rPr>
          <w:rFonts w:ascii="Arial" w:eastAsia="Arial" w:hAnsi="Arial" w:cs="Arial"/>
          <w:sz w:val="18"/>
        </w:rPr>
        <w:t>спольз</w:t>
      </w:r>
      <w:r>
        <w:rPr>
          <w:rFonts w:ascii="Arial" w:eastAsia="Arial" w:hAnsi="Arial" w:cs="Arial"/>
          <w:sz w:val="18"/>
          <w:lang w:val="ru-RU"/>
        </w:rPr>
        <w:t xml:space="preserve">овать </w:t>
      </w:r>
      <w:r w:rsidR="007D042A" w:rsidRPr="009B40DC">
        <w:rPr>
          <w:rFonts w:ascii="Arial" w:eastAsia="Arial" w:hAnsi="Arial" w:cs="Arial"/>
          <w:sz w:val="18"/>
        </w:rPr>
        <w:t>только для</w:t>
      </w:r>
      <w:r w:rsidR="007D042A">
        <w:rPr>
          <w:rFonts w:ascii="Arial" w:eastAsia="Arial" w:hAnsi="Arial" w:cs="Arial"/>
          <w:sz w:val="18"/>
          <w:lang w:val="ru-RU"/>
        </w:rPr>
        <w:t xml:space="preserve"> </w:t>
      </w:r>
      <w:r w:rsidR="007D042A" w:rsidRPr="009B40DC">
        <w:rPr>
          <w:rFonts w:ascii="Arial" w:eastAsia="Arial" w:hAnsi="Arial" w:cs="Arial"/>
          <w:sz w:val="18"/>
        </w:rPr>
        <w:t>диагностики in vitro</w:t>
      </w:r>
      <w:r>
        <w:rPr>
          <w:rFonts w:ascii="Arial" w:eastAsia="Arial" w:hAnsi="Arial" w:cs="Arial"/>
          <w:sz w:val="18"/>
          <w:lang w:val="ru-RU"/>
        </w:rPr>
        <w:t>.</w:t>
      </w:r>
    </w:p>
    <w:p w14:paraId="26DE7855" w14:textId="3BBAA4E8" w:rsidR="007D042A" w:rsidRPr="004C47E0" w:rsidRDefault="00521F53" w:rsidP="004C47E0">
      <w:pPr>
        <w:spacing w:after="3" w:line="251" w:lineRule="auto"/>
        <w:jc w:val="both"/>
        <w:rPr>
          <w:rFonts w:ascii="Arial" w:eastAsia="DengXian" w:hAnsi="Arial" w:cs="Arial" w:hint="eastAsia"/>
          <w:sz w:val="18"/>
          <w:lang w:val="ru-RU"/>
        </w:rPr>
      </w:pPr>
      <w:r>
        <w:rPr>
          <w:rFonts w:ascii="Arial" w:eastAsia="Arial" w:hAnsi="Arial" w:cs="Arial"/>
          <w:sz w:val="18"/>
          <w:lang w:val="ru-RU"/>
        </w:rPr>
        <w:t xml:space="preserve">Человеческая сыворотка, использованная для приготовления материала, проверялась </w:t>
      </w:r>
      <w:r>
        <w:rPr>
          <w:rFonts w:ascii="Arial" w:eastAsia="Arial" w:hAnsi="Arial" w:cs="Arial"/>
          <w:sz w:val="18"/>
        </w:rPr>
        <w:t xml:space="preserve">на уровне взятия крови на </w:t>
      </w:r>
      <w:r w:rsidR="004C47E0">
        <w:rPr>
          <w:rFonts w:ascii="Arial" w:eastAsia="Arial" w:hAnsi="Arial" w:cs="Arial"/>
          <w:sz w:val="18"/>
          <w:lang w:val="ru-RU"/>
        </w:rPr>
        <w:t xml:space="preserve">отсутствие </w:t>
      </w:r>
      <w:r w:rsidR="004C47E0">
        <w:rPr>
          <w:rFonts w:ascii="Arial" w:eastAsia="Arial" w:hAnsi="Arial" w:cs="Arial"/>
          <w:sz w:val="18"/>
        </w:rPr>
        <w:t>антител</w:t>
      </w:r>
      <w:r>
        <w:rPr>
          <w:rFonts w:ascii="Arial" w:eastAsia="Arial" w:hAnsi="Arial" w:cs="Arial"/>
          <w:sz w:val="18"/>
        </w:rPr>
        <w:t xml:space="preserve"> к </w:t>
      </w:r>
      <w:r>
        <w:rPr>
          <w:rFonts w:ascii="Arial" w:eastAsia="Arial" w:hAnsi="Arial" w:cs="Arial"/>
          <w:sz w:val="18"/>
          <w:lang w:val="ru-RU"/>
        </w:rPr>
        <w:t xml:space="preserve">вирусу иммунодефицита человека </w:t>
      </w:r>
      <w:r w:rsidRPr="00521F53">
        <w:rPr>
          <w:rFonts w:ascii="Arial" w:eastAsia="Arial" w:hAnsi="Arial" w:cs="Arial"/>
          <w:sz w:val="18"/>
          <w:lang w:val="ru-RU"/>
        </w:rPr>
        <w:t>(</w:t>
      </w:r>
      <w:r>
        <w:rPr>
          <w:rFonts w:ascii="Arial" w:eastAsia="Arial" w:hAnsi="Arial" w:cs="Arial"/>
          <w:sz w:val="18"/>
          <w:lang w:val="en-US"/>
        </w:rPr>
        <w:t>HIV</w:t>
      </w:r>
      <w:r w:rsidR="004C47E0" w:rsidRPr="004C47E0">
        <w:rPr>
          <w:rFonts w:ascii="Arial" w:eastAsia="Arial" w:hAnsi="Arial" w:cs="Arial"/>
          <w:sz w:val="18"/>
          <w:lang w:val="ru-RU"/>
        </w:rPr>
        <w:t xml:space="preserve"> </w:t>
      </w:r>
      <w:r w:rsidRPr="00521F53">
        <w:rPr>
          <w:rFonts w:ascii="Arial" w:eastAsia="Arial" w:hAnsi="Arial" w:cs="Arial"/>
          <w:sz w:val="18"/>
          <w:lang w:val="ru-RU"/>
        </w:rPr>
        <w:t>1</w:t>
      </w:r>
      <w:r>
        <w:rPr>
          <w:rFonts w:ascii="Arial" w:eastAsia="Arial" w:hAnsi="Arial" w:cs="Arial"/>
          <w:sz w:val="18"/>
          <w:lang w:val="ru-RU"/>
        </w:rPr>
        <w:t>,</w:t>
      </w:r>
      <w:r w:rsidR="004C47E0" w:rsidRPr="004C47E0">
        <w:rPr>
          <w:rFonts w:ascii="Arial" w:eastAsia="Arial" w:hAnsi="Arial" w:cs="Arial"/>
          <w:sz w:val="18"/>
          <w:lang w:val="ru-RU"/>
        </w:rPr>
        <w:t xml:space="preserve"> </w:t>
      </w:r>
      <w:r w:rsidR="004C47E0">
        <w:rPr>
          <w:rFonts w:ascii="Arial" w:eastAsia="Arial" w:hAnsi="Arial" w:cs="Arial"/>
          <w:sz w:val="18"/>
          <w:lang w:val="en-US"/>
        </w:rPr>
        <w:t>HIV</w:t>
      </w:r>
      <w:r w:rsidR="004C47E0">
        <w:rPr>
          <w:rFonts w:ascii="Arial" w:eastAsia="Arial" w:hAnsi="Arial" w:cs="Arial"/>
          <w:sz w:val="18"/>
          <w:lang w:val="ru-RU"/>
        </w:rPr>
        <w:t xml:space="preserve"> 2),</w:t>
      </w:r>
      <w:r>
        <w:rPr>
          <w:rFonts w:ascii="Arial" w:eastAsia="Arial" w:hAnsi="Arial" w:cs="Arial"/>
          <w:sz w:val="18"/>
          <w:lang w:val="ru-RU"/>
        </w:rPr>
        <w:t xml:space="preserve"> мембранных антигенов гепатита В</w:t>
      </w:r>
      <w:r w:rsidR="004C47E0" w:rsidRPr="004C47E0">
        <w:rPr>
          <w:rFonts w:ascii="Arial" w:eastAsia="Arial" w:hAnsi="Arial" w:cs="Arial"/>
          <w:sz w:val="18"/>
          <w:lang w:val="ru-RU"/>
        </w:rPr>
        <w:t xml:space="preserve"> (</w:t>
      </w:r>
      <w:r w:rsidR="004C47E0">
        <w:rPr>
          <w:rFonts w:ascii="Arial" w:eastAsia="Arial" w:hAnsi="Arial" w:cs="Arial"/>
          <w:sz w:val="18"/>
          <w:lang w:val="en-US"/>
        </w:rPr>
        <w:t>HbsAg</w:t>
      </w:r>
      <w:r w:rsidR="004C47E0" w:rsidRPr="004C47E0">
        <w:rPr>
          <w:rFonts w:ascii="Arial" w:eastAsia="Arial" w:hAnsi="Arial" w:cs="Arial"/>
          <w:sz w:val="18"/>
          <w:lang w:val="ru-RU"/>
        </w:rPr>
        <w:t>)</w:t>
      </w:r>
      <w:r>
        <w:rPr>
          <w:rFonts w:ascii="Arial" w:eastAsia="Arial" w:hAnsi="Arial" w:cs="Arial"/>
          <w:sz w:val="18"/>
          <w:lang w:val="ru-RU"/>
        </w:rPr>
        <w:t xml:space="preserve"> и антител к вирусу гепатита С</w:t>
      </w:r>
      <w:r w:rsidR="004C47E0" w:rsidRPr="004C47E0">
        <w:rPr>
          <w:rFonts w:ascii="Arial" w:eastAsia="Arial" w:hAnsi="Arial" w:cs="Arial"/>
          <w:sz w:val="18"/>
          <w:lang w:val="ru-RU"/>
        </w:rPr>
        <w:t xml:space="preserve"> (</w:t>
      </w:r>
      <w:r w:rsidR="004C47E0">
        <w:rPr>
          <w:rFonts w:ascii="Arial" w:eastAsia="Arial" w:hAnsi="Arial" w:cs="Arial"/>
          <w:sz w:val="18"/>
          <w:lang w:val="en-US"/>
        </w:rPr>
        <w:t>HCV</w:t>
      </w:r>
      <w:r w:rsidR="004C47E0">
        <w:rPr>
          <w:rFonts w:ascii="Arial" w:eastAsia="Arial" w:hAnsi="Arial" w:cs="Arial"/>
          <w:sz w:val="18"/>
          <w:lang w:val="ru-RU"/>
        </w:rPr>
        <w:t xml:space="preserve">). Для проведения этих тестов использовался метод, рекомендованный </w:t>
      </w:r>
      <w:r w:rsidR="004C47E0">
        <w:rPr>
          <w:rFonts w:ascii="Arial" w:eastAsia="Arial" w:hAnsi="Arial" w:cs="Arial"/>
          <w:sz w:val="18"/>
          <w:lang w:val="en-US"/>
        </w:rPr>
        <w:t>FDA</w:t>
      </w:r>
      <w:r w:rsidR="004C47E0">
        <w:rPr>
          <w:rFonts w:ascii="Arial" w:eastAsia="Arial" w:hAnsi="Arial" w:cs="Arial"/>
          <w:sz w:val="18"/>
          <w:lang w:val="ru-RU"/>
        </w:rPr>
        <w:t>. Однако, поскольку не существует методов, полностью исключающих наличие инфекций в исходном материале, следует обращаться с</w:t>
      </w:r>
      <w:r w:rsidR="004C47E0">
        <w:rPr>
          <w:rFonts w:ascii="Arial" w:eastAsia="Arial" w:hAnsi="Arial" w:cs="Arial"/>
          <w:sz w:val="18"/>
          <w:lang w:val="ru-RU"/>
        </w:rPr>
        <w:t xml:space="preserve"> сыворотк</w:t>
      </w:r>
      <w:r w:rsidR="004C47E0">
        <w:rPr>
          <w:rFonts w:ascii="Arial" w:eastAsia="Arial" w:hAnsi="Arial" w:cs="Arial"/>
          <w:sz w:val="18"/>
          <w:lang w:val="ru-RU"/>
        </w:rPr>
        <w:t>ой</w:t>
      </w:r>
      <w:r w:rsidR="004C47E0">
        <w:rPr>
          <w:rFonts w:ascii="Arial" w:eastAsia="Arial" w:hAnsi="Arial" w:cs="Arial"/>
          <w:sz w:val="18"/>
          <w:lang w:val="ru-RU"/>
        </w:rPr>
        <w:t xml:space="preserve"> и проб</w:t>
      </w:r>
      <w:r w:rsidR="004C47E0">
        <w:rPr>
          <w:rFonts w:ascii="Arial" w:eastAsia="Arial" w:hAnsi="Arial" w:cs="Arial"/>
          <w:sz w:val="18"/>
          <w:lang w:val="ru-RU"/>
        </w:rPr>
        <w:t>ами</w:t>
      </w:r>
      <w:r w:rsidR="004C47E0">
        <w:rPr>
          <w:rFonts w:ascii="Arial" w:eastAsia="Arial" w:hAnsi="Arial" w:cs="Arial"/>
          <w:sz w:val="18"/>
          <w:lang w:val="ru-RU"/>
        </w:rPr>
        <w:t xml:space="preserve"> пациентов</w:t>
      </w:r>
      <w:r w:rsidR="004C47E0">
        <w:rPr>
          <w:rFonts w:ascii="Arial" w:eastAsia="Arial" w:hAnsi="Arial" w:cs="Arial"/>
          <w:sz w:val="18"/>
          <w:lang w:val="ru-RU"/>
        </w:rPr>
        <w:t xml:space="preserve"> как с потенциально инфицированными и утилизировать их соответствующим образом.</w:t>
      </w:r>
    </w:p>
    <w:p w14:paraId="16F30C70" w14:textId="77777777" w:rsidR="00366D2F" w:rsidRDefault="00E7190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87"/>
        <w:gridCol w:w="1085"/>
        <w:gridCol w:w="1381"/>
        <w:gridCol w:w="4310"/>
      </w:tblGrid>
      <w:tr w:rsidR="004C47E0" w14:paraId="0E6BDD33" w14:textId="77777777" w:rsidTr="0028098B">
        <w:trPr>
          <w:trHeight w:val="248"/>
        </w:trPr>
        <w:tc>
          <w:tcPr>
            <w:tcW w:w="1787" w:type="dxa"/>
          </w:tcPr>
          <w:p w14:paraId="0323A2A6" w14:textId="5D5FA121" w:rsidR="004C47E0" w:rsidRPr="0028098B" w:rsidRDefault="0028098B">
            <w:pPr>
              <w:spacing w:after="3"/>
              <w:rPr>
                <w:lang w:val="ru-RU"/>
              </w:rPr>
            </w:pPr>
            <w:r>
              <w:rPr>
                <w:lang w:val="ru-RU"/>
              </w:rPr>
              <w:t>Аналит</w:t>
            </w:r>
          </w:p>
        </w:tc>
        <w:tc>
          <w:tcPr>
            <w:tcW w:w="1085" w:type="dxa"/>
          </w:tcPr>
          <w:p w14:paraId="09236218" w14:textId="6270A1AA" w:rsidR="004C47E0" w:rsidRPr="0028098B" w:rsidRDefault="0028098B" w:rsidP="0028098B">
            <w:pPr>
              <w:spacing w:after="3"/>
              <w:rPr>
                <w:lang w:val="ru-RU"/>
              </w:rPr>
            </w:pPr>
            <w:r>
              <w:rPr>
                <w:lang w:val="ru-RU"/>
              </w:rPr>
              <w:t>Единицы измерен.</w:t>
            </w:r>
          </w:p>
        </w:tc>
        <w:tc>
          <w:tcPr>
            <w:tcW w:w="1381" w:type="dxa"/>
          </w:tcPr>
          <w:p w14:paraId="2D76F782" w14:textId="5178CE6B" w:rsidR="004C47E0" w:rsidRPr="0028098B" w:rsidRDefault="0028098B">
            <w:pPr>
              <w:spacing w:after="3"/>
              <w:rPr>
                <w:lang w:val="ru-RU"/>
              </w:rPr>
            </w:pPr>
            <w:r>
              <w:rPr>
                <w:lang w:val="ru-RU"/>
              </w:rPr>
              <w:t>Целевое значение</w:t>
            </w:r>
          </w:p>
        </w:tc>
        <w:tc>
          <w:tcPr>
            <w:tcW w:w="4310" w:type="dxa"/>
          </w:tcPr>
          <w:p w14:paraId="4801F6F5" w14:textId="2707A336" w:rsidR="004C47E0" w:rsidRPr="0028098B" w:rsidRDefault="0028098B">
            <w:pPr>
              <w:spacing w:after="3"/>
              <w:rPr>
                <w:lang w:val="ru-RU"/>
              </w:rPr>
            </w:pPr>
            <w:r>
              <w:rPr>
                <w:lang w:val="ru-RU"/>
              </w:rPr>
              <w:t>Метод исследования</w:t>
            </w:r>
          </w:p>
        </w:tc>
      </w:tr>
      <w:tr w:rsidR="004C47E0" w14:paraId="0C1BBAE7" w14:textId="77777777" w:rsidTr="0028098B">
        <w:trPr>
          <w:trHeight w:val="7045"/>
        </w:trPr>
        <w:tc>
          <w:tcPr>
            <w:tcW w:w="8563" w:type="dxa"/>
            <w:gridSpan w:val="4"/>
          </w:tcPr>
          <w:p w14:paraId="7FEEED8A" w14:textId="308AF815" w:rsidR="004C47E0" w:rsidRDefault="004C47E0">
            <w:pPr>
              <w:spacing w:after="3"/>
            </w:pPr>
            <w:bookmarkStart w:id="0" w:name="_GoBack"/>
            <w:r w:rsidRPr="00F010FC">
              <w:drawing>
                <wp:inline distT="0" distB="0" distL="0" distR="0" wp14:anchorId="5E5BFBD1" wp14:editId="09D877FE">
                  <wp:extent cx="5268060" cy="512516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060" cy="512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49F23C7" w14:textId="67DB585D" w:rsidR="00022A48" w:rsidRDefault="00022A48">
      <w:pPr>
        <w:spacing w:after="3"/>
        <w:ind w:left="-5" w:hanging="10"/>
      </w:pPr>
    </w:p>
    <w:p w14:paraId="0A1D0A66" w14:textId="35AB3B55" w:rsidR="00366D2F" w:rsidRDefault="00E71902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 xml:space="preserve">Beijing Strong Biotechnologies, Inc. </w:t>
      </w:r>
    </w:p>
    <w:p w14:paraId="17249AC9" w14:textId="5CD12FC9" w:rsidR="00366D2F" w:rsidRDefault="00E71902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 xml:space="preserve">Add: 5/F,KuangYi Building,No.15,Hua Yuan Dong Lu,Haidian District,Beijing 100191,P.R.China </w:t>
      </w:r>
    </w:p>
    <w:p w14:paraId="7252DF8B" w14:textId="4C24CB47" w:rsidR="00366D2F" w:rsidRDefault="00E71902">
      <w:pPr>
        <w:spacing w:after="313"/>
        <w:ind w:left="-5" w:hanging="10"/>
      </w:pPr>
      <w:r>
        <w:rPr>
          <w:rFonts w:ascii="Arial" w:eastAsia="Arial" w:hAnsi="Arial" w:cs="Arial"/>
          <w:sz w:val="14"/>
        </w:rPr>
        <w:t xml:space="preserve">Tel:  +86 10 8201 2486     Fax:  +86 10 8201 2812 </w:t>
      </w:r>
    </w:p>
    <w:p w14:paraId="7056BF1F" w14:textId="271E94CB" w:rsidR="00366D2F" w:rsidRDefault="00E71902">
      <w:pPr>
        <w:tabs>
          <w:tab w:val="center" w:pos="8261"/>
        </w:tabs>
        <w:spacing w:after="3"/>
        <w:ind w:left="-15"/>
      </w:pPr>
      <w:r>
        <w:rPr>
          <w:rFonts w:ascii="Arial" w:eastAsia="Arial" w:hAnsi="Arial" w:cs="Arial"/>
          <w:sz w:val="14"/>
        </w:rPr>
        <w:t>Web</w:t>
      </w:r>
      <w:hyperlink r:id="rId7">
        <w:r>
          <w:rPr>
            <w:rFonts w:ascii="Arial" w:eastAsia="Arial" w:hAnsi="Arial" w:cs="Arial"/>
            <w:sz w:val="14"/>
          </w:rPr>
          <w:t xml:space="preserve">: </w:t>
        </w:r>
      </w:hyperlink>
      <w:hyperlink r:id="rId8">
        <w:r>
          <w:rPr>
            <w:rFonts w:ascii="Arial" w:eastAsia="Arial" w:hAnsi="Arial" w:cs="Arial"/>
            <w:color w:val="0000FF"/>
            <w:sz w:val="14"/>
            <w:u w:val="single" w:color="0000FF"/>
          </w:rPr>
          <w:t>http://en.bsbe.com.cn/</w:t>
        </w:r>
      </w:hyperlink>
      <w:hyperlink r:id="rId9">
        <w:r>
          <w:rPr>
            <w:rFonts w:ascii="Arial" w:eastAsia="Arial" w:hAnsi="Arial" w:cs="Arial"/>
            <w:sz w:val="14"/>
          </w:rPr>
          <w:t xml:space="preserve">  </w:t>
        </w:r>
      </w:hyperlink>
      <w:r>
        <w:rPr>
          <w:rFonts w:ascii="Arial" w:eastAsia="Arial" w:hAnsi="Arial" w:cs="Arial"/>
          <w:sz w:val="14"/>
        </w:rPr>
        <w:t xml:space="preserve">   Email:overseas@bsbe.com.cn</w:t>
      </w:r>
      <w:r>
        <w:rPr>
          <w:rFonts w:ascii="Arial" w:eastAsia="Arial" w:hAnsi="Arial" w:cs="Arial"/>
          <w:color w:val="0000FF"/>
          <w:sz w:val="14"/>
        </w:rPr>
        <w:t xml:space="preserve"> </w:t>
      </w:r>
      <w:r>
        <w:rPr>
          <w:rFonts w:ascii="Arial" w:eastAsia="Arial" w:hAnsi="Arial" w:cs="Arial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 w:rsidRPr="00342E90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</w:t>
      </w:r>
      <w:r w:rsidR="00342E90" w:rsidRPr="00342E90">
        <w:rPr>
          <w:rFonts w:ascii="Arial" w:eastAsia="Arial" w:hAnsi="Arial" w:cs="Arial"/>
          <w:sz w:val="16"/>
          <w:szCs w:val="16"/>
          <w:lang w:val="ru-RU"/>
        </w:rPr>
        <w:t>Версия 1001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</w:t>
      </w:r>
    </w:p>
    <w:sectPr w:rsidR="00366D2F">
      <w:pgSz w:w="11906" w:h="16841"/>
      <w:pgMar w:top="1440" w:right="1336" w:bottom="144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6BF"/>
    <w:multiLevelType w:val="hybridMultilevel"/>
    <w:tmpl w:val="D2C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D1435"/>
    <w:multiLevelType w:val="hybridMultilevel"/>
    <w:tmpl w:val="9118D32E"/>
    <w:lvl w:ilvl="0" w:tplc="58F4FD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F"/>
    <w:rsid w:val="00022A48"/>
    <w:rsid w:val="0028098B"/>
    <w:rsid w:val="00342E90"/>
    <w:rsid w:val="00366D2F"/>
    <w:rsid w:val="004C47E0"/>
    <w:rsid w:val="00521F53"/>
    <w:rsid w:val="005818DB"/>
    <w:rsid w:val="005A24D8"/>
    <w:rsid w:val="0061515D"/>
    <w:rsid w:val="00670365"/>
    <w:rsid w:val="007D042A"/>
    <w:rsid w:val="007D46CB"/>
    <w:rsid w:val="009B40DC"/>
    <w:rsid w:val="00BB5B81"/>
    <w:rsid w:val="00D52F34"/>
    <w:rsid w:val="00E71902"/>
    <w:rsid w:val="00E90877"/>
    <w:rsid w:val="00F010FC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7B8"/>
  <w15:docId w15:val="{AD3D86A3-414C-1D41-A840-2EF7536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zh-CN" w:eastAsia="zh-CN" w:bidi="zh-CN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18DB"/>
    <w:pPr>
      <w:ind w:left="720"/>
      <w:contextualSpacing/>
    </w:pPr>
  </w:style>
  <w:style w:type="table" w:styleId="a4">
    <w:name w:val="Table Grid"/>
    <w:basedOn w:val="a1"/>
    <w:uiPriority w:val="39"/>
    <w:rsid w:val="004C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bsbe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bsb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bsbe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HDL/LDL标准              G-cell</vt:lpstr>
      <vt:lpstr>HDL/LDL标准              G-cell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HDL/LDL标准              G-cell</dc:title>
  <dc:subject/>
  <dc:creator>微软（中国）有限公司</dc:creator>
  <cp:keywords/>
  <cp:lastModifiedBy>a.zavernyaev</cp:lastModifiedBy>
  <cp:revision>6</cp:revision>
  <dcterms:created xsi:type="dcterms:W3CDTF">2022-11-30T09:24:00Z</dcterms:created>
  <dcterms:modified xsi:type="dcterms:W3CDTF">2022-12-02T13:45:00Z</dcterms:modified>
</cp:coreProperties>
</file>