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4003"/>
      </w:tblGrid>
      <w:tr w:rsidR="0064228E" w:rsidRPr="004522A5" w:rsidTr="00393DA3">
        <w:trPr>
          <w:trHeight w:val="160"/>
        </w:trPr>
        <w:tc>
          <w:tcPr>
            <w:tcW w:w="10348" w:type="dxa"/>
            <w:gridSpan w:val="2"/>
          </w:tcPr>
          <w:p w:rsidR="006C1CCB" w:rsidRPr="00497DC4" w:rsidRDefault="00F71D66" w:rsidP="00F71D66">
            <w:pPr>
              <w:pStyle w:val="Default"/>
              <w:ind w:right="1107"/>
              <w:rPr>
                <w:b/>
                <w:color w:val="auto"/>
                <w:sz w:val="36"/>
                <w:szCs w:val="36"/>
              </w:rPr>
            </w:pPr>
            <w:r w:rsidRPr="00497DC4">
              <w:rPr>
                <w:b/>
                <w:color w:val="auto"/>
              </w:rPr>
              <w:t xml:space="preserve">Набор </w:t>
            </w:r>
            <w:r w:rsidR="00FA6042">
              <w:rPr>
                <w:b/>
                <w:color w:val="auto"/>
              </w:rPr>
              <w:t xml:space="preserve">иммунохимических </w:t>
            </w:r>
            <w:r w:rsidRPr="00497DC4">
              <w:rPr>
                <w:b/>
                <w:color w:val="auto"/>
              </w:rPr>
              <w:t xml:space="preserve">реагентов </w:t>
            </w:r>
            <w:r w:rsidRPr="00497DC4">
              <w:rPr>
                <w:b/>
                <w:color w:val="auto"/>
                <w:lang w:val="en-US"/>
              </w:rPr>
              <w:t>Skyla</w:t>
            </w:r>
            <w:r w:rsidRPr="00497DC4">
              <w:rPr>
                <w:b/>
                <w:color w:val="auto"/>
              </w:rPr>
              <w:t xml:space="preserve">  </w:t>
            </w:r>
            <w:r w:rsidR="00393DA3" w:rsidRPr="00497DC4">
              <w:rPr>
                <w:b/>
                <w:color w:val="auto"/>
              </w:rPr>
              <w:t xml:space="preserve">      </w:t>
            </w:r>
            <w:r w:rsidRPr="00497DC4">
              <w:rPr>
                <w:b/>
                <w:color w:val="auto"/>
              </w:rPr>
              <w:t xml:space="preserve">                                </w:t>
            </w:r>
          </w:p>
          <w:p w:rsidR="0064228E" w:rsidRPr="00497DC4" w:rsidRDefault="00B70186" w:rsidP="00AE0EE6">
            <w:pPr>
              <w:pStyle w:val="Default"/>
              <w:tabs>
                <w:tab w:val="left" w:pos="9676"/>
              </w:tabs>
              <w:ind w:right="682"/>
              <w:rPr>
                <w:b/>
                <w:sz w:val="32"/>
                <w:szCs w:val="32"/>
              </w:rPr>
            </w:pPr>
            <w:r w:rsidRPr="00497DC4">
              <w:rPr>
                <w:b/>
                <w:color w:val="auto"/>
                <w:sz w:val="36"/>
                <w:szCs w:val="36"/>
                <w:lang w:val="en-US"/>
              </w:rPr>
              <w:t>S</w:t>
            </w:r>
            <w:r w:rsidR="00FA6042">
              <w:rPr>
                <w:b/>
                <w:color w:val="auto"/>
                <w:sz w:val="36"/>
                <w:szCs w:val="36"/>
                <w:lang w:val="en-US"/>
              </w:rPr>
              <w:t>DM</w:t>
            </w:r>
            <w:r w:rsidRPr="00497DC4">
              <w:rPr>
                <w:b/>
                <w:color w:val="auto"/>
                <w:sz w:val="36"/>
                <w:szCs w:val="36"/>
                <w:lang w:val="en-US"/>
              </w:rPr>
              <w:t>A</w:t>
            </w:r>
            <w:r w:rsidR="00F71D66" w:rsidRPr="00497DC4">
              <w:rPr>
                <w:b/>
                <w:color w:val="auto"/>
                <w:sz w:val="32"/>
                <w:szCs w:val="32"/>
              </w:rPr>
              <w:t xml:space="preserve"> </w:t>
            </w:r>
            <w:r w:rsidR="00F71D66" w:rsidRPr="00497DC4">
              <w:rPr>
                <w:b/>
                <w:color w:val="auto"/>
                <w:sz w:val="28"/>
                <w:szCs w:val="28"/>
              </w:rPr>
              <w:t>(</w:t>
            </w:r>
            <w:r w:rsidR="00AE0EE6">
              <w:rPr>
                <w:b/>
                <w:color w:val="auto"/>
                <w:sz w:val="28"/>
                <w:szCs w:val="28"/>
              </w:rPr>
              <w:t xml:space="preserve">Симметричный </w:t>
            </w:r>
            <w:proofErr w:type="spellStart"/>
            <w:r w:rsidR="00AE0EE6">
              <w:rPr>
                <w:b/>
                <w:color w:val="auto"/>
                <w:sz w:val="28"/>
                <w:szCs w:val="28"/>
              </w:rPr>
              <w:t>диметиларгинин</w:t>
            </w:r>
            <w:proofErr w:type="spellEnd"/>
            <w:r w:rsidR="00F4575F" w:rsidRPr="00497DC4">
              <w:rPr>
                <w:b/>
                <w:color w:val="auto"/>
                <w:sz w:val="28"/>
                <w:szCs w:val="28"/>
              </w:rPr>
              <w:t>)</w:t>
            </w:r>
            <w:r w:rsidR="004D2C2D" w:rsidRPr="00497DC4">
              <w:rPr>
                <w:b/>
                <w:sz w:val="32"/>
                <w:szCs w:val="32"/>
              </w:rPr>
              <w:t xml:space="preserve"> </w:t>
            </w:r>
            <w:r w:rsidR="00393DA3" w:rsidRPr="00497DC4">
              <w:rPr>
                <w:b/>
                <w:sz w:val="32"/>
                <w:szCs w:val="32"/>
              </w:rPr>
              <w:t xml:space="preserve">                         </w:t>
            </w:r>
            <w:r w:rsidR="00393DA3" w:rsidRPr="00497DC4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8DB643" wp14:editId="5D95F73D">
                  <wp:extent cx="1724025" cy="45974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28E" w:rsidRPr="004522A5" w:rsidTr="00393DA3">
        <w:trPr>
          <w:trHeight w:val="615"/>
        </w:trPr>
        <w:tc>
          <w:tcPr>
            <w:tcW w:w="6345" w:type="dxa"/>
          </w:tcPr>
          <w:p w:rsidR="00F71D66" w:rsidRDefault="00F71D66" w:rsidP="00F561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64228E" w:rsidRPr="00F71D66" w:rsidRDefault="007C7EBB" w:rsidP="00F561C4">
            <w:pPr>
              <w:pStyle w:val="Default"/>
            </w:pPr>
            <w:r w:rsidRPr="00F71D66">
              <w:rPr>
                <w:b/>
                <w:bCs/>
              </w:rPr>
              <w:t>Только для использования в ветеринарной диагностике</w:t>
            </w:r>
            <w:r w:rsidR="0064228E" w:rsidRPr="00F71D66">
              <w:rPr>
                <w:b/>
                <w:bCs/>
              </w:rPr>
              <w:t xml:space="preserve"> </w:t>
            </w:r>
          </w:p>
        </w:tc>
        <w:tc>
          <w:tcPr>
            <w:tcW w:w="4003" w:type="dxa"/>
          </w:tcPr>
          <w:p w:rsidR="007C709B" w:rsidRDefault="00F71D66" w:rsidP="006C1CC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71D6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0</wp:posOffset>
                  </wp:positionV>
                  <wp:extent cx="1285875" cy="428625"/>
                  <wp:effectExtent l="0" t="0" r="9525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228E" w:rsidRPr="004522A5" w:rsidRDefault="00393DA3" w:rsidP="00FA6042">
            <w:pPr>
              <w:pStyle w:val="Default"/>
              <w:ind w:left="921" w:hanging="283"/>
              <w:rPr>
                <w:rFonts w:eastAsia="DFKai-SB"/>
                <w:sz w:val="20"/>
                <w:szCs w:val="20"/>
              </w:rPr>
            </w:pPr>
            <w:r w:rsidRPr="004D0D87">
              <w:rPr>
                <w:b/>
                <w:bCs/>
                <w:sz w:val="20"/>
                <w:szCs w:val="20"/>
              </w:rPr>
              <w:t xml:space="preserve">      </w:t>
            </w:r>
            <w:r w:rsidR="006F0D85">
              <w:rPr>
                <w:b/>
                <w:bCs/>
              </w:rPr>
              <w:t>Артикул</w:t>
            </w:r>
            <w:r w:rsidR="00E910C7" w:rsidRPr="00393DA3">
              <w:rPr>
                <w:b/>
                <w:bCs/>
              </w:rPr>
              <w:t xml:space="preserve">: </w:t>
            </w:r>
            <w:r w:rsidR="0064228E" w:rsidRPr="00393DA3">
              <w:rPr>
                <w:rFonts w:eastAsia="DFKai-SB"/>
                <w:b/>
                <w:bCs/>
              </w:rPr>
              <w:t>90</w:t>
            </w:r>
            <w:r w:rsidR="00F561C4" w:rsidRPr="00393DA3">
              <w:rPr>
                <w:rFonts w:eastAsia="DFKai-SB"/>
                <w:b/>
                <w:bCs/>
              </w:rPr>
              <w:t>1</w:t>
            </w:r>
            <w:r w:rsidR="0064228E" w:rsidRPr="00393DA3">
              <w:rPr>
                <w:rFonts w:eastAsia="DFKai-SB"/>
                <w:b/>
                <w:bCs/>
              </w:rPr>
              <w:t>-</w:t>
            </w:r>
            <w:r w:rsidR="00FA6042">
              <w:rPr>
                <w:rFonts w:eastAsia="DFKai-SB"/>
                <w:b/>
                <w:bCs/>
              </w:rPr>
              <w:t>29</w:t>
            </w:r>
            <w:r w:rsidR="00F561C4" w:rsidRPr="00393DA3">
              <w:rPr>
                <w:rFonts w:eastAsia="DFKai-SB"/>
                <w:b/>
                <w:bCs/>
              </w:rPr>
              <w:t>0</w:t>
            </w:r>
            <w:r w:rsidR="0064228E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</w:t>
            </w:r>
            <w:r w:rsidR="00995D0F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eastAsia="DFKai-SB"/>
                <w:b/>
                <w:bCs/>
                <w:sz w:val="20"/>
                <w:szCs w:val="20"/>
              </w:rPr>
              <w:t xml:space="preserve">                   </w:t>
            </w:r>
            <w:r w:rsidR="006F0D85">
              <w:rPr>
                <w:rFonts w:eastAsia="DFKai-SB"/>
                <w:b/>
                <w:bCs/>
                <w:sz w:val="20"/>
                <w:szCs w:val="20"/>
              </w:rPr>
              <w:t xml:space="preserve">  </w:t>
            </w:r>
            <w:r w:rsidR="00842CC4">
              <w:rPr>
                <w:rFonts w:eastAsia="DFKai-SB"/>
                <w:b/>
                <w:bCs/>
                <w:sz w:val="20"/>
                <w:szCs w:val="20"/>
              </w:rPr>
              <w:t>Версия</w:t>
            </w:r>
            <w:r w:rsidR="00E910C7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</w:t>
            </w:r>
            <w:r w:rsidR="00FA6042">
              <w:rPr>
                <w:rFonts w:eastAsia="DFKai-SB"/>
                <w:b/>
                <w:bCs/>
                <w:sz w:val="20"/>
                <w:szCs w:val="20"/>
                <w:lang w:val="en-US"/>
              </w:rPr>
              <w:t>D</w:t>
            </w:r>
          </w:p>
        </w:tc>
      </w:tr>
    </w:tbl>
    <w:p w:rsidR="0064228E" w:rsidRPr="004522A5" w:rsidRDefault="0064228E" w:rsidP="0073056E">
      <w:pPr>
        <w:pStyle w:val="Default"/>
        <w:numPr>
          <w:ilvl w:val="0"/>
          <w:numId w:val="1"/>
        </w:numPr>
        <w:spacing w:before="120" w:after="120"/>
        <w:ind w:left="284" w:hanging="284"/>
        <w:rPr>
          <w:sz w:val="32"/>
          <w:szCs w:val="32"/>
        </w:rPr>
      </w:pPr>
      <w:r w:rsidRPr="004522A5">
        <w:rPr>
          <w:b/>
          <w:bCs/>
          <w:sz w:val="32"/>
          <w:szCs w:val="32"/>
        </w:rPr>
        <w:t>Назначение</w:t>
      </w:r>
    </w:p>
    <w:p w:rsidR="0064228E" w:rsidRDefault="00C74951" w:rsidP="00842CC4">
      <w:pPr>
        <w:pStyle w:val="Default"/>
        <w:rPr>
          <w:sz w:val="23"/>
          <w:szCs w:val="23"/>
        </w:rPr>
      </w:pPr>
      <w:r w:rsidRPr="00C74951">
        <w:rPr>
          <w:color w:val="auto"/>
          <w:sz w:val="23"/>
          <w:szCs w:val="23"/>
        </w:rPr>
        <w:t>Набор реагентов</w:t>
      </w:r>
      <w:r w:rsidR="00331F05" w:rsidRPr="00363B9C">
        <w:rPr>
          <w:color w:val="auto"/>
          <w:sz w:val="23"/>
          <w:szCs w:val="23"/>
        </w:rPr>
        <w:t xml:space="preserve"> </w:t>
      </w:r>
      <w:r w:rsidR="006C1CCB" w:rsidRPr="00363B9C">
        <w:rPr>
          <w:color w:val="auto"/>
          <w:sz w:val="23"/>
          <w:szCs w:val="23"/>
          <w:lang w:val="en-US"/>
        </w:rPr>
        <w:t>skyla</w:t>
      </w:r>
      <w:r w:rsidR="006F0D85" w:rsidRPr="006F0D85">
        <w:rPr>
          <w:color w:val="auto"/>
          <w:sz w:val="23"/>
          <w:szCs w:val="23"/>
        </w:rPr>
        <w:t xml:space="preserve"> </w:t>
      </w:r>
      <w:r w:rsidR="00B70186" w:rsidRPr="004D0D87">
        <w:rPr>
          <w:lang w:val="en-US"/>
        </w:rPr>
        <w:t>S</w:t>
      </w:r>
      <w:r w:rsidR="00FA6042">
        <w:rPr>
          <w:lang w:val="en-US"/>
        </w:rPr>
        <w:t>DM</w:t>
      </w:r>
      <w:r w:rsidR="00B70186" w:rsidRPr="004D0D87">
        <w:rPr>
          <w:lang w:val="en-US"/>
        </w:rPr>
        <w:t>A</w:t>
      </w:r>
      <w:r w:rsidR="00F14D35" w:rsidRPr="00363B9C">
        <w:rPr>
          <w:sz w:val="23"/>
          <w:szCs w:val="23"/>
        </w:rPr>
        <w:t>, используем</w:t>
      </w:r>
      <w:r w:rsidR="00331F05" w:rsidRPr="00363B9C">
        <w:rPr>
          <w:sz w:val="23"/>
          <w:szCs w:val="23"/>
        </w:rPr>
        <w:t>ый</w:t>
      </w:r>
      <w:r w:rsidR="00F14D35" w:rsidRPr="00363B9C">
        <w:rPr>
          <w:sz w:val="23"/>
          <w:szCs w:val="23"/>
        </w:rPr>
        <w:t xml:space="preserve"> с</w:t>
      </w:r>
      <w:r w:rsidR="0064228E" w:rsidRPr="00363B9C">
        <w:rPr>
          <w:sz w:val="23"/>
          <w:szCs w:val="23"/>
        </w:rPr>
        <w:t xml:space="preserve"> </w:t>
      </w:r>
      <w:r w:rsidR="00F14D35" w:rsidRPr="00363B9C">
        <w:rPr>
          <w:sz w:val="23"/>
          <w:szCs w:val="23"/>
        </w:rPr>
        <w:t xml:space="preserve">анализатором </w:t>
      </w:r>
      <w:r w:rsidR="00F14D35" w:rsidRPr="00363B9C">
        <w:rPr>
          <w:sz w:val="23"/>
          <w:szCs w:val="23"/>
          <w:lang w:val="en-US"/>
        </w:rPr>
        <w:t>skyla</w:t>
      </w:r>
      <w:r w:rsidR="0064228E" w:rsidRPr="00363B9C">
        <w:rPr>
          <w:sz w:val="23"/>
          <w:szCs w:val="23"/>
        </w:rPr>
        <w:t xml:space="preserve">, предназначен для количественного определения </w:t>
      </w:r>
      <w:r w:rsidR="00AE0EE6">
        <w:rPr>
          <w:color w:val="auto"/>
          <w:sz w:val="23"/>
          <w:szCs w:val="23"/>
        </w:rPr>
        <w:t>с</w:t>
      </w:r>
      <w:r w:rsidR="00AE0EE6" w:rsidRPr="00AE0EE6">
        <w:rPr>
          <w:color w:val="auto"/>
          <w:sz w:val="23"/>
          <w:szCs w:val="23"/>
        </w:rPr>
        <w:t>имметричн</w:t>
      </w:r>
      <w:r w:rsidR="00AE0EE6">
        <w:rPr>
          <w:color w:val="auto"/>
          <w:sz w:val="23"/>
          <w:szCs w:val="23"/>
        </w:rPr>
        <w:t>ого</w:t>
      </w:r>
      <w:r w:rsidR="00AE0EE6" w:rsidRPr="00AE0EE6">
        <w:rPr>
          <w:color w:val="auto"/>
          <w:sz w:val="23"/>
          <w:szCs w:val="23"/>
        </w:rPr>
        <w:t xml:space="preserve"> </w:t>
      </w:r>
      <w:proofErr w:type="spellStart"/>
      <w:r w:rsidR="00AE0EE6" w:rsidRPr="00AE0EE6">
        <w:rPr>
          <w:color w:val="auto"/>
          <w:sz w:val="23"/>
          <w:szCs w:val="23"/>
        </w:rPr>
        <w:t>диметиларгинин</w:t>
      </w:r>
      <w:r w:rsidR="00AE0EE6">
        <w:rPr>
          <w:color w:val="auto"/>
          <w:sz w:val="23"/>
          <w:szCs w:val="23"/>
        </w:rPr>
        <w:t>а</w:t>
      </w:r>
      <w:proofErr w:type="spellEnd"/>
      <w:r w:rsidR="006C1CCB" w:rsidRPr="00CE0843">
        <w:rPr>
          <w:sz w:val="23"/>
          <w:szCs w:val="23"/>
        </w:rPr>
        <w:t xml:space="preserve"> </w:t>
      </w:r>
      <w:r w:rsidR="00D8488C" w:rsidRPr="00CE0843">
        <w:rPr>
          <w:sz w:val="23"/>
          <w:szCs w:val="23"/>
        </w:rPr>
        <w:t xml:space="preserve">в плазме и сыворотке </w:t>
      </w:r>
      <w:r w:rsidR="0073056E" w:rsidRPr="00CE0843">
        <w:rPr>
          <w:sz w:val="23"/>
          <w:szCs w:val="23"/>
        </w:rPr>
        <w:t>крови</w:t>
      </w:r>
      <w:r w:rsidR="00AE0EE6">
        <w:rPr>
          <w:sz w:val="23"/>
          <w:szCs w:val="23"/>
        </w:rPr>
        <w:t xml:space="preserve"> у кошек и собак</w:t>
      </w:r>
      <w:r w:rsidR="0064228E" w:rsidRPr="00CE0843">
        <w:rPr>
          <w:sz w:val="23"/>
          <w:szCs w:val="23"/>
        </w:rPr>
        <w:t xml:space="preserve">. </w:t>
      </w:r>
    </w:p>
    <w:p w:rsidR="00C74951" w:rsidRDefault="00C74951" w:rsidP="00842CC4">
      <w:pPr>
        <w:pStyle w:val="Default"/>
        <w:rPr>
          <w:sz w:val="23"/>
          <w:szCs w:val="23"/>
        </w:rPr>
      </w:pPr>
    </w:p>
    <w:p w:rsidR="00C74951" w:rsidRDefault="00C74951" w:rsidP="00842CC4">
      <w:pPr>
        <w:pStyle w:val="Default"/>
        <w:rPr>
          <w:b/>
          <w:sz w:val="23"/>
          <w:szCs w:val="23"/>
          <w:u w:val="single"/>
          <w:lang w:val="en-US"/>
        </w:rPr>
      </w:pPr>
      <w:proofErr w:type="spellStart"/>
      <w:r w:rsidRPr="00C74951">
        <w:rPr>
          <w:b/>
          <w:sz w:val="23"/>
          <w:szCs w:val="23"/>
          <w:u w:val="single"/>
          <w:lang w:val="en-US"/>
        </w:rPr>
        <w:t>Предупреждение</w:t>
      </w:r>
      <w:proofErr w:type="spellEnd"/>
    </w:p>
    <w:p w:rsidR="00C74951" w:rsidRDefault="00C74951" w:rsidP="00842CC4">
      <w:pPr>
        <w:pStyle w:val="Default"/>
        <w:rPr>
          <w:b/>
          <w:sz w:val="23"/>
          <w:szCs w:val="23"/>
          <w:u w:val="single"/>
          <w:lang w:val="en-US"/>
        </w:rPr>
      </w:pPr>
    </w:p>
    <w:p w:rsidR="00C74951" w:rsidRDefault="00C74951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Продукция предназначена только для использования в </w:t>
      </w:r>
      <w:r w:rsidR="006F0D85" w:rsidRPr="006F0D85">
        <w:rPr>
          <w:i/>
          <w:sz w:val="23"/>
          <w:szCs w:val="23"/>
          <w:lang w:val="en-US"/>
        </w:rPr>
        <w:t>in</w:t>
      </w:r>
      <w:r w:rsidR="006F0D85" w:rsidRPr="006F0D85">
        <w:rPr>
          <w:i/>
          <w:sz w:val="23"/>
          <w:szCs w:val="23"/>
        </w:rPr>
        <w:t xml:space="preserve"> </w:t>
      </w:r>
      <w:r w:rsidR="006F0D85" w:rsidRPr="006F0D85">
        <w:rPr>
          <w:i/>
          <w:sz w:val="23"/>
          <w:szCs w:val="23"/>
          <w:lang w:val="en-US"/>
        </w:rPr>
        <w:t>vitro</w:t>
      </w:r>
      <w:r>
        <w:rPr>
          <w:sz w:val="23"/>
          <w:szCs w:val="23"/>
        </w:rPr>
        <w:t xml:space="preserve"> диагностике</w:t>
      </w:r>
    </w:p>
    <w:p w:rsidR="00C74951" w:rsidRDefault="00C74951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Продукция не </w:t>
      </w:r>
      <w:r w:rsidR="006F0D85" w:rsidRPr="006F0D85">
        <w:rPr>
          <w:sz w:val="23"/>
          <w:szCs w:val="23"/>
        </w:rPr>
        <w:t>должна</w:t>
      </w:r>
      <w:r>
        <w:rPr>
          <w:sz w:val="23"/>
          <w:szCs w:val="23"/>
        </w:rPr>
        <w:t xml:space="preserve"> использова</w:t>
      </w:r>
      <w:r w:rsidR="006F0D85">
        <w:rPr>
          <w:sz w:val="23"/>
          <w:szCs w:val="23"/>
        </w:rPr>
        <w:t>ться</w:t>
      </w:r>
      <w:r>
        <w:rPr>
          <w:sz w:val="23"/>
          <w:szCs w:val="23"/>
        </w:rPr>
        <w:t xml:space="preserve"> для индивидуальных диагностических целей</w:t>
      </w:r>
    </w:p>
    <w:p w:rsidR="00C74951" w:rsidRPr="005E1056" w:rsidRDefault="006F0D85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Набор реагентов </w:t>
      </w:r>
      <w:r w:rsidR="00C74951" w:rsidRPr="004522A5">
        <w:rPr>
          <w:sz w:val="23"/>
          <w:szCs w:val="23"/>
        </w:rPr>
        <w:t>следует хранить при температуре 2</w:t>
      </w:r>
      <w:r w:rsidR="00C74951" w:rsidRPr="004522A5">
        <w:rPr>
          <w:rFonts w:eastAsia="DFKai-SB"/>
          <w:sz w:val="23"/>
          <w:szCs w:val="23"/>
        </w:rPr>
        <w:t xml:space="preserve"> - 8°</w:t>
      </w:r>
      <w:r w:rsidR="00C74951" w:rsidRPr="004522A5">
        <w:rPr>
          <w:rFonts w:eastAsia="DFKai-SB"/>
          <w:sz w:val="23"/>
          <w:szCs w:val="23"/>
          <w:lang w:val="en-US"/>
        </w:rPr>
        <w:t>C</w:t>
      </w:r>
      <w:r w:rsidR="00C74951" w:rsidRPr="004522A5">
        <w:rPr>
          <w:rFonts w:eastAsia="DFKai-SB"/>
          <w:sz w:val="23"/>
          <w:szCs w:val="23"/>
        </w:rPr>
        <w:t>.</w:t>
      </w:r>
    </w:p>
    <w:p w:rsidR="005E1056" w:rsidRPr="005E1056" w:rsidRDefault="005E1056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rFonts w:eastAsia="DFKai-SB"/>
          <w:sz w:val="23"/>
          <w:szCs w:val="23"/>
        </w:rPr>
        <w:t>При выполнении теста надевайте защитные перчатки</w:t>
      </w:r>
    </w:p>
    <w:p w:rsidR="005E1056" w:rsidRPr="005E1056" w:rsidRDefault="005E1056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rFonts w:eastAsia="DFKai-SB"/>
          <w:sz w:val="23"/>
          <w:szCs w:val="23"/>
        </w:rPr>
        <w:t>Никакая часть набора не может быть использована повторно</w:t>
      </w:r>
    </w:p>
    <w:p w:rsidR="005E1056" w:rsidRPr="00AD7242" w:rsidRDefault="00E56919" w:rsidP="005E105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Утилизация отходов </w:t>
      </w:r>
      <w:r w:rsidR="005E1056">
        <w:rPr>
          <w:sz w:val="23"/>
          <w:szCs w:val="23"/>
        </w:rPr>
        <w:t>должн</w:t>
      </w:r>
      <w:r>
        <w:rPr>
          <w:sz w:val="23"/>
          <w:szCs w:val="23"/>
        </w:rPr>
        <w:t>а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производиться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в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соответствии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со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стандартными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лабораторными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процедурами и требованиями местного законодательства</w:t>
      </w:r>
      <w:r w:rsidR="005E1056" w:rsidRPr="00AD7242">
        <w:rPr>
          <w:sz w:val="23"/>
          <w:szCs w:val="23"/>
        </w:rPr>
        <w:t xml:space="preserve">. </w:t>
      </w:r>
    </w:p>
    <w:p w:rsidR="005E1056" w:rsidRPr="00AD7242" w:rsidRDefault="005E1056" w:rsidP="005E1056">
      <w:pPr>
        <w:pStyle w:val="Default"/>
        <w:rPr>
          <w:sz w:val="23"/>
          <w:szCs w:val="23"/>
        </w:rPr>
      </w:pPr>
    </w:p>
    <w:p w:rsidR="005E1056" w:rsidRPr="005E1056" w:rsidRDefault="005E1056" w:rsidP="005E1056">
      <w:pPr>
        <w:pStyle w:val="Default"/>
        <w:numPr>
          <w:ilvl w:val="0"/>
          <w:numId w:val="1"/>
        </w:numPr>
        <w:ind w:left="284" w:hanging="284"/>
        <w:rPr>
          <w:b/>
          <w:sz w:val="32"/>
          <w:szCs w:val="32"/>
        </w:rPr>
      </w:pPr>
      <w:r w:rsidRPr="005E1056">
        <w:rPr>
          <w:b/>
          <w:sz w:val="32"/>
          <w:szCs w:val="32"/>
        </w:rPr>
        <w:t>Состав набора</w:t>
      </w:r>
    </w:p>
    <w:p w:rsidR="00C74951" w:rsidRDefault="00E56919" w:rsidP="00C749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Набор </w:t>
      </w:r>
      <w:r>
        <w:rPr>
          <w:color w:val="auto"/>
          <w:sz w:val="23"/>
          <w:szCs w:val="23"/>
          <w:lang w:val="en-US"/>
        </w:rPr>
        <w:t>skyla</w:t>
      </w:r>
      <w:r w:rsidRPr="006C1CCB">
        <w:rPr>
          <w:color w:val="auto"/>
          <w:sz w:val="23"/>
          <w:szCs w:val="23"/>
        </w:rPr>
        <w:t xml:space="preserve"> </w:t>
      </w:r>
      <w:r w:rsidRPr="00331F05">
        <w:rPr>
          <w:color w:val="auto"/>
          <w:sz w:val="23"/>
          <w:szCs w:val="23"/>
        </w:rPr>
        <w:t>для исследовани</w:t>
      </w:r>
      <w:r>
        <w:rPr>
          <w:color w:val="auto"/>
          <w:sz w:val="23"/>
          <w:szCs w:val="23"/>
        </w:rPr>
        <w:t>я</w:t>
      </w:r>
      <w:r w:rsidRPr="00A02C80">
        <w:t xml:space="preserve"> </w:t>
      </w:r>
      <w:r w:rsidR="00AE0EE6" w:rsidRPr="004D0D87">
        <w:rPr>
          <w:lang w:val="en-US"/>
        </w:rPr>
        <w:t>S</w:t>
      </w:r>
      <w:r w:rsidR="00AE0EE6">
        <w:rPr>
          <w:lang w:val="en-US"/>
        </w:rPr>
        <w:t>DM</w:t>
      </w:r>
      <w:r w:rsidR="00AE0EE6" w:rsidRPr="004D0D87">
        <w:rPr>
          <w:lang w:val="en-US"/>
        </w:rPr>
        <w:t>A</w:t>
      </w:r>
      <w:r w:rsidR="0085472E">
        <w:rPr>
          <w:color w:val="auto"/>
          <w:sz w:val="23"/>
          <w:szCs w:val="23"/>
        </w:rPr>
        <w:t xml:space="preserve"> состоит из аналитического картриджа и упаковки с реагентами</w:t>
      </w:r>
      <w:r w:rsidR="00824E4B">
        <w:rPr>
          <w:color w:val="auto"/>
          <w:sz w:val="23"/>
          <w:szCs w:val="23"/>
        </w:rPr>
        <w:t xml:space="preserve"> (в том числе капиллярного наконечника для отбора пробы)</w:t>
      </w:r>
      <w:r w:rsidR="00497DC4">
        <w:rPr>
          <w:color w:val="auto"/>
          <w:sz w:val="23"/>
          <w:szCs w:val="23"/>
        </w:rPr>
        <w:t>:</w:t>
      </w:r>
    </w:p>
    <w:p w:rsidR="00497DC4" w:rsidRDefault="00497DC4" w:rsidP="00C74951">
      <w:pPr>
        <w:pStyle w:val="Default"/>
        <w:rPr>
          <w:color w:val="auto"/>
          <w:sz w:val="23"/>
          <w:szCs w:val="23"/>
        </w:rPr>
      </w:pPr>
    </w:p>
    <w:p w:rsidR="00824E4B" w:rsidRDefault="00AE0EE6" w:rsidP="00C74951">
      <w:pPr>
        <w:pStyle w:val="Default"/>
        <w:rPr>
          <w:color w:val="auto"/>
          <w:sz w:val="23"/>
          <w:szCs w:val="23"/>
        </w:rPr>
      </w:pPr>
      <w:r w:rsidRPr="00AE0EE6">
        <w:rPr>
          <w:noProof/>
          <w:color w:val="auto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2199219</wp:posOffset>
            </wp:positionH>
            <wp:positionV relativeFrom="paragraph">
              <wp:posOffset>6350</wp:posOffset>
            </wp:positionV>
            <wp:extent cx="1591945" cy="2167890"/>
            <wp:effectExtent l="0" t="0" r="8255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497DC4" w:rsidP="00AE0EE6">
      <w:pPr>
        <w:pStyle w:val="Default"/>
        <w:tabs>
          <w:tab w:val="center" w:pos="4677"/>
          <w:tab w:val="left" w:pos="6465"/>
        </w:tabs>
        <w:ind w:hanging="14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</w:r>
      <w:r w:rsidR="00AE0EE6">
        <w:rPr>
          <w:color w:val="auto"/>
          <w:sz w:val="23"/>
          <w:szCs w:val="23"/>
        </w:rPr>
        <w:t xml:space="preserve">                                                  У</w:t>
      </w:r>
      <w:r>
        <w:rPr>
          <w:color w:val="auto"/>
          <w:sz w:val="23"/>
          <w:szCs w:val="23"/>
        </w:rPr>
        <w:t>паковка с реагентами</w:t>
      </w: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AE0EE6" w:rsidP="00497DC4">
      <w:pPr>
        <w:pStyle w:val="Default"/>
        <w:tabs>
          <w:tab w:val="left" w:pos="655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</w:t>
      </w:r>
      <w:r w:rsidR="00497DC4">
        <w:rPr>
          <w:color w:val="auto"/>
          <w:sz w:val="23"/>
          <w:szCs w:val="23"/>
        </w:rPr>
        <w:t>Капиллярная трубка</w:t>
      </w:r>
      <w:r>
        <w:rPr>
          <w:color w:val="auto"/>
          <w:sz w:val="23"/>
          <w:szCs w:val="23"/>
        </w:rPr>
        <w:t xml:space="preserve"> с желтым колпачком</w:t>
      </w: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AE0EE6" w:rsidP="00497DC4">
      <w:pPr>
        <w:pStyle w:val="Default"/>
        <w:tabs>
          <w:tab w:val="left" w:pos="6540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А</w:t>
      </w:r>
      <w:r w:rsidR="00497DC4">
        <w:rPr>
          <w:color w:val="auto"/>
          <w:sz w:val="23"/>
          <w:szCs w:val="23"/>
        </w:rPr>
        <w:t>налитический картридж</w:t>
      </w: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64228E" w:rsidRPr="004522A5" w:rsidRDefault="005E1056" w:rsidP="0073056E">
      <w:pPr>
        <w:pStyle w:val="Default"/>
        <w:spacing w:before="12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64228E" w:rsidRPr="004522A5">
        <w:rPr>
          <w:b/>
          <w:bCs/>
          <w:sz w:val="32"/>
          <w:szCs w:val="32"/>
        </w:rPr>
        <w:t xml:space="preserve">. </w:t>
      </w:r>
      <w:r w:rsidR="00E910C7" w:rsidRPr="004522A5">
        <w:rPr>
          <w:b/>
          <w:bCs/>
          <w:sz w:val="32"/>
          <w:szCs w:val="32"/>
        </w:rPr>
        <w:t>Основные сведения</w:t>
      </w:r>
      <w:r w:rsidR="00F14D35" w:rsidRPr="004522A5">
        <w:rPr>
          <w:b/>
          <w:bCs/>
          <w:sz w:val="32"/>
          <w:szCs w:val="32"/>
        </w:rPr>
        <w:t xml:space="preserve"> </w:t>
      </w:r>
    </w:p>
    <w:p w:rsidR="005152B1" w:rsidRDefault="00DB3CB4" w:rsidP="00497DC4">
      <w:pPr>
        <w:pStyle w:val="Default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Набор </w:t>
      </w:r>
      <w:r w:rsidR="006C1CCB">
        <w:rPr>
          <w:color w:val="auto"/>
          <w:sz w:val="23"/>
          <w:szCs w:val="23"/>
          <w:lang w:val="en-US"/>
        </w:rPr>
        <w:t>skyla</w:t>
      </w:r>
      <w:r w:rsidR="006C1CCB" w:rsidRPr="006C1CCB">
        <w:rPr>
          <w:color w:val="auto"/>
          <w:sz w:val="23"/>
          <w:szCs w:val="23"/>
        </w:rPr>
        <w:t xml:space="preserve"> </w:t>
      </w:r>
      <w:r w:rsidR="00331F05" w:rsidRPr="00331F05">
        <w:rPr>
          <w:color w:val="auto"/>
          <w:sz w:val="23"/>
          <w:szCs w:val="23"/>
        </w:rPr>
        <w:t>для исследовани</w:t>
      </w:r>
      <w:r w:rsidR="00A02C80">
        <w:rPr>
          <w:color w:val="auto"/>
          <w:sz w:val="23"/>
          <w:szCs w:val="23"/>
        </w:rPr>
        <w:t>я</w:t>
      </w:r>
      <w:r w:rsidR="00A02C80" w:rsidRPr="00A02C80">
        <w:t xml:space="preserve"> </w:t>
      </w:r>
      <w:r w:rsidR="00AE0EE6" w:rsidRPr="004D0D87">
        <w:rPr>
          <w:lang w:val="en-US"/>
        </w:rPr>
        <w:t>S</w:t>
      </w:r>
      <w:r w:rsidR="00AE0EE6">
        <w:rPr>
          <w:lang w:val="en-US"/>
        </w:rPr>
        <w:t>DM</w:t>
      </w:r>
      <w:r w:rsidR="00AE0EE6" w:rsidRPr="004D0D87">
        <w:rPr>
          <w:lang w:val="en-US"/>
        </w:rPr>
        <w:t>A</w:t>
      </w:r>
      <w:r w:rsidR="00A02C80" w:rsidRPr="00A02C80">
        <w:rPr>
          <w:color w:val="auto"/>
          <w:sz w:val="23"/>
          <w:szCs w:val="23"/>
        </w:rPr>
        <w:t xml:space="preserve"> </w:t>
      </w:r>
      <w:r w:rsidR="005152B1">
        <w:rPr>
          <w:color w:val="auto"/>
          <w:sz w:val="23"/>
          <w:szCs w:val="23"/>
        </w:rPr>
        <w:t>основан на</w:t>
      </w:r>
      <w:r w:rsidR="00A02C80">
        <w:rPr>
          <w:color w:val="auto"/>
          <w:sz w:val="23"/>
          <w:szCs w:val="23"/>
        </w:rPr>
        <w:t xml:space="preserve"> иммунохимическ</w:t>
      </w:r>
      <w:r w:rsidR="005152B1">
        <w:rPr>
          <w:color w:val="auto"/>
          <w:sz w:val="23"/>
          <w:szCs w:val="23"/>
        </w:rPr>
        <w:t>ом</w:t>
      </w:r>
      <w:r w:rsidR="00A02C80">
        <w:rPr>
          <w:color w:val="auto"/>
          <w:sz w:val="23"/>
          <w:szCs w:val="23"/>
        </w:rPr>
        <w:t xml:space="preserve"> мето</w:t>
      </w:r>
      <w:r w:rsidR="00DC4D5F">
        <w:rPr>
          <w:color w:val="auto"/>
          <w:sz w:val="23"/>
          <w:szCs w:val="23"/>
        </w:rPr>
        <w:t>д</w:t>
      </w:r>
      <w:r w:rsidR="005152B1">
        <w:rPr>
          <w:color w:val="auto"/>
          <w:sz w:val="23"/>
          <w:szCs w:val="23"/>
        </w:rPr>
        <w:t>е</w:t>
      </w:r>
      <w:r w:rsidR="00A02C80">
        <w:rPr>
          <w:color w:val="auto"/>
          <w:sz w:val="23"/>
          <w:szCs w:val="23"/>
        </w:rPr>
        <w:t xml:space="preserve">, </w:t>
      </w:r>
      <w:r w:rsidR="00DC4D5F">
        <w:rPr>
          <w:color w:val="auto"/>
          <w:sz w:val="23"/>
          <w:szCs w:val="23"/>
        </w:rPr>
        <w:t>позволяющ</w:t>
      </w:r>
      <w:r w:rsidR="005152B1" w:rsidRPr="005152B1">
        <w:rPr>
          <w:color w:val="auto"/>
          <w:sz w:val="23"/>
          <w:szCs w:val="23"/>
        </w:rPr>
        <w:t>ем</w:t>
      </w:r>
      <w:r w:rsidR="00443DA4" w:rsidRPr="004522A5">
        <w:rPr>
          <w:sz w:val="23"/>
          <w:szCs w:val="23"/>
        </w:rPr>
        <w:t xml:space="preserve"> </w:t>
      </w:r>
      <w:r w:rsidR="00E1504A">
        <w:rPr>
          <w:sz w:val="23"/>
          <w:szCs w:val="23"/>
        </w:rPr>
        <w:t>количественно</w:t>
      </w:r>
      <w:r>
        <w:rPr>
          <w:sz w:val="23"/>
          <w:szCs w:val="23"/>
        </w:rPr>
        <w:t xml:space="preserve"> определить концентрацию </w:t>
      </w:r>
      <w:r w:rsidR="0000570A" w:rsidRPr="004D0D87">
        <w:rPr>
          <w:lang w:val="en-US"/>
        </w:rPr>
        <w:t>S</w:t>
      </w:r>
      <w:r w:rsidR="0000570A">
        <w:rPr>
          <w:lang w:val="en-US"/>
        </w:rPr>
        <w:t>DM</w:t>
      </w:r>
      <w:r w:rsidR="0000570A" w:rsidRPr="004D0D87">
        <w:rPr>
          <w:lang w:val="en-US"/>
        </w:rPr>
        <w:t>A</w:t>
      </w:r>
      <w:r w:rsidR="00E1504A">
        <w:rPr>
          <w:color w:val="auto"/>
          <w:sz w:val="23"/>
          <w:szCs w:val="23"/>
        </w:rPr>
        <w:t xml:space="preserve"> в пробах кошек и собак</w:t>
      </w:r>
      <w:r w:rsidR="0064228E" w:rsidRPr="004522A5">
        <w:rPr>
          <w:sz w:val="23"/>
          <w:szCs w:val="23"/>
        </w:rPr>
        <w:t xml:space="preserve">. </w:t>
      </w:r>
    </w:p>
    <w:p w:rsidR="00DA1845" w:rsidRDefault="00DB3CB4" w:rsidP="00497D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смешении с реагентом </w:t>
      </w:r>
      <w:r w:rsidR="00E1504A" w:rsidRPr="004D0D87">
        <w:rPr>
          <w:lang w:val="en-US"/>
        </w:rPr>
        <w:t>S</w:t>
      </w:r>
      <w:r w:rsidR="00E1504A">
        <w:rPr>
          <w:lang w:val="en-US"/>
        </w:rPr>
        <w:t>DM</w:t>
      </w:r>
      <w:r w:rsidR="00E1504A" w:rsidRPr="004D0D87">
        <w:rPr>
          <w:lang w:val="en-US"/>
        </w:rPr>
        <w:t>A</w:t>
      </w:r>
      <w:r w:rsidR="00DA1845" w:rsidRPr="00DA1845">
        <w:rPr>
          <w:sz w:val="23"/>
          <w:szCs w:val="23"/>
        </w:rPr>
        <w:t xml:space="preserve"> </w:t>
      </w:r>
      <w:r w:rsidR="00353F1D">
        <w:rPr>
          <w:sz w:val="23"/>
          <w:szCs w:val="23"/>
        </w:rPr>
        <w:t>вступает в конкурентную реакцию связывания с антителами</w:t>
      </w:r>
      <w:r w:rsidR="00821BF9">
        <w:rPr>
          <w:sz w:val="23"/>
          <w:szCs w:val="23"/>
        </w:rPr>
        <w:t xml:space="preserve">, </w:t>
      </w:r>
      <w:r w:rsidR="00353F1D">
        <w:rPr>
          <w:sz w:val="23"/>
          <w:szCs w:val="23"/>
        </w:rPr>
        <w:t>что делает активными несвязанные ферменты</w:t>
      </w:r>
      <w:r w:rsidR="00A20689">
        <w:rPr>
          <w:sz w:val="23"/>
          <w:szCs w:val="23"/>
        </w:rPr>
        <w:t xml:space="preserve"> и проявляется в росте оптической плотности на длине волны 340 </w:t>
      </w:r>
      <w:proofErr w:type="spellStart"/>
      <w:r w:rsidR="00A20689">
        <w:rPr>
          <w:sz w:val="23"/>
          <w:szCs w:val="23"/>
        </w:rPr>
        <w:t>нм</w:t>
      </w:r>
      <w:proofErr w:type="spellEnd"/>
      <w:r w:rsidR="00A20689">
        <w:rPr>
          <w:sz w:val="23"/>
          <w:szCs w:val="23"/>
        </w:rPr>
        <w:t>.</w:t>
      </w:r>
    </w:p>
    <w:p w:rsidR="004D0D87" w:rsidRPr="00821BF9" w:rsidRDefault="004D0D87" w:rsidP="0064228E">
      <w:pPr>
        <w:pStyle w:val="Default"/>
        <w:rPr>
          <w:sz w:val="23"/>
          <w:szCs w:val="23"/>
        </w:rPr>
      </w:pPr>
    </w:p>
    <w:p w:rsidR="00A20689" w:rsidRDefault="00A20689" w:rsidP="007C709B">
      <w:pPr>
        <w:pStyle w:val="Default"/>
        <w:spacing w:before="120" w:after="120"/>
        <w:rPr>
          <w:i/>
          <w:sz w:val="28"/>
          <w:szCs w:val="28"/>
        </w:rPr>
      </w:pPr>
      <w:bookmarkStart w:id="0" w:name="_GoBack"/>
      <w:bookmarkEnd w:id="0"/>
    </w:p>
    <w:p w:rsidR="00443DA4" w:rsidRPr="00331F05" w:rsidRDefault="00443DA4" w:rsidP="007C709B">
      <w:pPr>
        <w:pStyle w:val="Default"/>
        <w:spacing w:before="120" w:after="120"/>
        <w:rPr>
          <w:sz w:val="28"/>
          <w:szCs w:val="28"/>
        </w:rPr>
      </w:pPr>
      <w:r w:rsidRPr="007C709B">
        <w:rPr>
          <w:i/>
          <w:sz w:val="28"/>
          <w:szCs w:val="28"/>
        </w:rPr>
        <w:lastRenderedPageBreak/>
        <w:t>Клиническая значимость</w:t>
      </w:r>
      <w:r w:rsidRPr="00331F05">
        <w:rPr>
          <w:sz w:val="28"/>
          <w:szCs w:val="28"/>
        </w:rPr>
        <w:t>:</w:t>
      </w:r>
    </w:p>
    <w:p w:rsidR="00A20689" w:rsidRDefault="00A20689" w:rsidP="00A20689">
      <w:pPr>
        <w:pStyle w:val="Default"/>
        <w:spacing w:after="120"/>
        <w:jc w:val="both"/>
        <w:rPr>
          <w:iCs/>
          <w:sz w:val="23"/>
          <w:szCs w:val="23"/>
        </w:rPr>
      </w:pPr>
      <w:r w:rsidRPr="00A20689">
        <w:rPr>
          <w:color w:val="auto"/>
          <w:sz w:val="23"/>
          <w:szCs w:val="23"/>
        </w:rPr>
        <w:t xml:space="preserve">Симметричный </w:t>
      </w:r>
      <w:proofErr w:type="spellStart"/>
      <w:r w:rsidRPr="00A20689">
        <w:rPr>
          <w:color w:val="auto"/>
          <w:sz w:val="23"/>
          <w:szCs w:val="23"/>
        </w:rPr>
        <w:t>диметиларгинин</w:t>
      </w:r>
      <w:proofErr w:type="spellEnd"/>
      <w:r w:rsidR="00DC4D5F">
        <w:rPr>
          <w:color w:val="auto"/>
          <w:sz w:val="23"/>
          <w:szCs w:val="23"/>
        </w:rPr>
        <w:t xml:space="preserve"> </w:t>
      </w:r>
      <w:r w:rsidR="00821BF9">
        <w:rPr>
          <w:color w:val="auto"/>
          <w:sz w:val="23"/>
          <w:szCs w:val="23"/>
        </w:rPr>
        <w:t>(</w:t>
      </w:r>
      <w:r w:rsidR="00E1504A" w:rsidRPr="004D0D87">
        <w:rPr>
          <w:lang w:val="en-US"/>
        </w:rPr>
        <w:t>S</w:t>
      </w:r>
      <w:r w:rsidR="00E1504A">
        <w:rPr>
          <w:lang w:val="en-US"/>
        </w:rPr>
        <w:t>DM</w:t>
      </w:r>
      <w:r w:rsidR="00E1504A" w:rsidRPr="004D0D87">
        <w:rPr>
          <w:lang w:val="en-US"/>
        </w:rPr>
        <w:t>A</w:t>
      </w:r>
      <w:r w:rsidR="00821BF9">
        <w:rPr>
          <w:sz w:val="23"/>
          <w:szCs w:val="23"/>
        </w:rPr>
        <w:t>)</w:t>
      </w:r>
      <w:r w:rsidR="00821BF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является </w:t>
      </w:r>
      <w:proofErr w:type="spellStart"/>
      <w:r>
        <w:rPr>
          <w:color w:val="auto"/>
          <w:sz w:val="23"/>
          <w:szCs w:val="23"/>
        </w:rPr>
        <w:t>биомаркером</w:t>
      </w:r>
      <w:proofErr w:type="spellEnd"/>
      <w:r>
        <w:rPr>
          <w:color w:val="auto"/>
          <w:sz w:val="23"/>
          <w:szCs w:val="23"/>
        </w:rPr>
        <w:t xml:space="preserve"> наличия аргинина, содержащего две </w:t>
      </w:r>
      <w:proofErr w:type="spellStart"/>
      <w:r>
        <w:rPr>
          <w:color w:val="auto"/>
          <w:sz w:val="23"/>
          <w:szCs w:val="23"/>
        </w:rPr>
        <w:t>метильных</w:t>
      </w:r>
      <w:proofErr w:type="spellEnd"/>
      <w:r>
        <w:rPr>
          <w:color w:val="auto"/>
          <w:sz w:val="23"/>
          <w:szCs w:val="23"/>
        </w:rPr>
        <w:t xml:space="preserve"> группы в симметричной конфигурации, который выделяется почками. Он может быть использован для ранней диагностики заболеваний почек у кошек и собак на несколько месяцев или даже лет раньше, чем </w:t>
      </w:r>
      <w:proofErr w:type="spellStart"/>
      <w:r>
        <w:rPr>
          <w:color w:val="auto"/>
          <w:sz w:val="23"/>
          <w:szCs w:val="23"/>
        </w:rPr>
        <w:t>креатинин</w:t>
      </w:r>
      <w:proofErr w:type="spellEnd"/>
      <w:r>
        <w:rPr>
          <w:color w:val="auto"/>
          <w:sz w:val="23"/>
          <w:szCs w:val="23"/>
        </w:rPr>
        <w:t>, а также является более специфичным и менее зависимым, например, от снижения мышечной массы пациента.</w:t>
      </w:r>
    </w:p>
    <w:p w:rsidR="00481E1E" w:rsidRPr="00481E1E" w:rsidRDefault="00481E1E" w:rsidP="00466D0D">
      <w:pPr>
        <w:pStyle w:val="Default"/>
        <w:numPr>
          <w:ilvl w:val="0"/>
          <w:numId w:val="9"/>
        </w:numPr>
        <w:spacing w:before="240"/>
        <w:ind w:left="782" w:hanging="357"/>
        <w:rPr>
          <w:color w:val="auto"/>
          <w:sz w:val="28"/>
          <w:szCs w:val="28"/>
        </w:rPr>
      </w:pPr>
      <w:r>
        <w:rPr>
          <w:b/>
          <w:bCs/>
          <w:sz w:val="32"/>
          <w:szCs w:val="32"/>
        </w:rPr>
        <w:t>Реагенты</w:t>
      </w:r>
    </w:p>
    <w:p w:rsidR="0064228E" w:rsidRPr="004522A5" w:rsidRDefault="00DA1845" w:rsidP="00466D0D">
      <w:pPr>
        <w:pStyle w:val="Default"/>
        <w:spacing w:before="120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Основной состав</w:t>
      </w:r>
      <w:r w:rsidR="0064228E" w:rsidRPr="00331F05">
        <w:rPr>
          <w:color w:val="auto"/>
          <w:sz w:val="28"/>
          <w:szCs w:val="28"/>
        </w:rPr>
        <w:t>:</w:t>
      </w:r>
    </w:p>
    <w:p w:rsidR="00786B85" w:rsidRDefault="00A06334" w:rsidP="00466D0D">
      <w:pPr>
        <w:pStyle w:val="Default"/>
        <w:spacing w:before="120" w:after="120"/>
        <w:ind w:left="425"/>
        <w:rPr>
          <w:sz w:val="23"/>
          <w:szCs w:val="23"/>
        </w:rPr>
      </w:pPr>
      <w:r>
        <w:rPr>
          <w:sz w:val="23"/>
          <w:szCs w:val="23"/>
          <w:lang w:val="en-US"/>
        </w:rPr>
        <w:t>R</w:t>
      </w:r>
      <w:r w:rsidRPr="00DA1845">
        <w:rPr>
          <w:sz w:val="23"/>
          <w:szCs w:val="23"/>
        </w:rPr>
        <w:t>1</w:t>
      </w:r>
      <w:r>
        <w:rPr>
          <w:sz w:val="23"/>
          <w:szCs w:val="23"/>
        </w:rPr>
        <w:t xml:space="preserve">: </w:t>
      </w:r>
      <w:r w:rsidR="00E1504A">
        <w:rPr>
          <w:sz w:val="23"/>
          <w:szCs w:val="23"/>
        </w:rPr>
        <w:t>100</w:t>
      </w:r>
      <w:r>
        <w:rPr>
          <w:sz w:val="23"/>
          <w:szCs w:val="23"/>
        </w:rPr>
        <w:t xml:space="preserve"> мкл </w:t>
      </w:r>
    </w:p>
    <w:p w:rsidR="00A06334" w:rsidRDefault="00A06334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 w:rsidR="00E1504A">
        <w:rPr>
          <w:sz w:val="23"/>
          <w:szCs w:val="23"/>
        </w:rPr>
        <w:t>Антитела/Субстрат</w:t>
      </w:r>
      <w:r w:rsidR="00466D0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786B85" w:rsidRDefault="00A06334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  <w:lang w:val="en-US"/>
        </w:rPr>
        <w:t>R</w:t>
      </w:r>
      <w:r>
        <w:rPr>
          <w:sz w:val="23"/>
          <w:szCs w:val="23"/>
        </w:rPr>
        <w:t xml:space="preserve">2: </w:t>
      </w:r>
      <w:r w:rsidR="00B70186">
        <w:rPr>
          <w:sz w:val="23"/>
          <w:szCs w:val="23"/>
        </w:rPr>
        <w:t>8</w:t>
      </w:r>
      <w:r w:rsidR="00E1504A">
        <w:rPr>
          <w:sz w:val="23"/>
          <w:szCs w:val="23"/>
        </w:rPr>
        <w:t>2</w:t>
      </w:r>
      <w:r w:rsidR="00B70186">
        <w:rPr>
          <w:sz w:val="23"/>
          <w:szCs w:val="23"/>
        </w:rPr>
        <w:t>5</w:t>
      </w:r>
      <w:r>
        <w:rPr>
          <w:sz w:val="23"/>
          <w:szCs w:val="23"/>
        </w:rPr>
        <w:t xml:space="preserve"> мкл </w:t>
      </w:r>
    </w:p>
    <w:p w:rsidR="00A06334" w:rsidRDefault="00A06334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 w:rsidR="00E1504A">
        <w:rPr>
          <w:sz w:val="23"/>
          <w:szCs w:val="23"/>
        </w:rPr>
        <w:t>Б</w:t>
      </w:r>
      <w:r>
        <w:rPr>
          <w:sz w:val="23"/>
          <w:szCs w:val="23"/>
        </w:rPr>
        <w:t xml:space="preserve">уфер </w:t>
      </w:r>
    </w:p>
    <w:p w:rsidR="0012055D" w:rsidRPr="004522A5" w:rsidRDefault="00C747D0" w:rsidP="0012055D">
      <w:pPr>
        <w:pStyle w:val="Default"/>
        <w:rPr>
          <w:sz w:val="28"/>
          <w:szCs w:val="28"/>
        </w:rPr>
      </w:pPr>
      <w:r w:rsidRPr="00864688">
        <w:rPr>
          <w:i/>
          <w:sz w:val="28"/>
          <w:szCs w:val="28"/>
        </w:rPr>
        <w:t>Хранение реагентов</w:t>
      </w:r>
      <w:r w:rsidR="0012055D" w:rsidRPr="004522A5">
        <w:rPr>
          <w:sz w:val="28"/>
          <w:szCs w:val="28"/>
        </w:rPr>
        <w:t>:</w:t>
      </w:r>
    </w:p>
    <w:p w:rsidR="0012055D" w:rsidRPr="004522A5" w:rsidRDefault="00A06334" w:rsidP="00786B85">
      <w:pPr>
        <w:pStyle w:val="Default"/>
        <w:numPr>
          <w:ilvl w:val="0"/>
          <w:numId w:val="11"/>
        </w:numPr>
        <w:spacing w:after="273"/>
        <w:ind w:left="851" w:hanging="425"/>
        <w:rPr>
          <w:rFonts w:eastAsia="DFKai-SB"/>
          <w:sz w:val="23"/>
          <w:szCs w:val="23"/>
        </w:rPr>
      </w:pPr>
      <w:r>
        <w:rPr>
          <w:color w:val="auto"/>
          <w:sz w:val="23"/>
          <w:szCs w:val="23"/>
        </w:rPr>
        <w:t>Набор</w:t>
      </w:r>
      <w:r w:rsidR="00C747D0" w:rsidRPr="004522A5">
        <w:rPr>
          <w:sz w:val="23"/>
          <w:szCs w:val="23"/>
        </w:rPr>
        <w:t xml:space="preserve"> следует хранить при температуре</w:t>
      </w:r>
      <w:r w:rsidR="0012055D" w:rsidRPr="004522A5">
        <w:rPr>
          <w:sz w:val="23"/>
          <w:szCs w:val="23"/>
        </w:rPr>
        <w:t xml:space="preserve"> 2</w:t>
      </w:r>
      <w:r w:rsidR="00BF3878" w:rsidRPr="004522A5">
        <w:rPr>
          <w:rFonts w:eastAsia="DFKai-SB"/>
          <w:sz w:val="23"/>
          <w:szCs w:val="23"/>
        </w:rPr>
        <w:t xml:space="preserve"> - </w:t>
      </w:r>
      <w:r w:rsidR="0012055D" w:rsidRPr="004522A5">
        <w:rPr>
          <w:rFonts w:eastAsia="DFKai-SB"/>
          <w:sz w:val="23"/>
          <w:szCs w:val="23"/>
        </w:rPr>
        <w:t>8°</w:t>
      </w:r>
      <w:r w:rsidR="0012055D" w:rsidRPr="004522A5">
        <w:rPr>
          <w:rFonts w:eastAsia="DFKai-SB"/>
          <w:sz w:val="23"/>
          <w:szCs w:val="23"/>
          <w:lang w:val="en-US"/>
        </w:rPr>
        <w:t>C</w:t>
      </w:r>
      <w:r w:rsidR="0012055D" w:rsidRPr="004522A5">
        <w:rPr>
          <w:rFonts w:eastAsia="DFKai-SB"/>
          <w:sz w:val="23"/>
          <w:szCs w:val="23"/>
        </w:rPr>
        <w:t>.</w:t>
      </w:r>
    </w:p>
    <w:p w:rsidR="0012055D" w:rsidRPr="00723AD2" w:rsidRDefault="00C747D0" w:rsidP="00D87EFD">
      <w:pPr>
        <w:pStyle w:val="Default"/>
        <w:numPr>
          <w:ilvl w:val="0"/>
          <w:numId w:val="11"/>
        </w:numPr>
        <w:spacing w:after="240"/>
        <w:ind w:left="851" w:hanging="425"/>
        <w:jc w:val="both"/>
        <w:rPr>
          <w:rFonts w:eastAsia="DFKai-SB"/>
          <w:sz w:val="23"/>
          <w:szCs w:val="23"/>
        </w:rPr>
      </w:pPr>
      <w:r w:rsidRPr="004522A5">
        <w:rPr>
          <w:rFonts w:eastAsia="DFKai-SB"/>
          <w:sz w:val="23"/>
          <w:szCs w:val="23"/>
        </w:rPr>
        <w:t xml:space="preserve">Срок годности указывается на </w:t>
      </w:r>
      <w:r w:rsidR="00786B85">
        <w:rPr>
          <w:rFonts w:eastAsia="DFKai-SB"/>
          <w:sz w:val="23"/>
          <w:szCs w:val="23"/>
        </w:rPr>
        <w:t>упаковке</w:t>
      </w:r>
      <w:r w:rsidRPr="004522A5">
        <w:rPr>
          <w:rFonts w:eastAsia="DFKai-SB"/>
          <w:sz w:val="23"/>
          <w:szCs w:val="23"/>
        </w:rPr>
        <w:t xml:space="preserve"> с </w:t>
      </w:r>
      <w:r w:rsidR="00A06334">
        <w:rPr>
          <w:color w:val="auto"/>
          <w:sz w:val="23"/>
          <w:szCs w:val="23"/>
        </w:rPr>
        <w:t>набором</w:t>
      </w:r>
      <w:r w:rsidR="0012055D" w:rsidRPr="004522A5">
        <w:rPr>
          <w:rFonts w:eastAsia="DFKai-SB"/>
          <w:sz w:val="23"/>
          <w:szCs w:val="23"/>
        </w:rPr>
        <w:t xml:space="preserve">. </w:t>
      </w:r>
      <w:r w:rsidRPr="004522A5">
        <w:rPr>
          <w:rFonts w:eastAsia="DFKai-SB"/>
          <w:sz w:val="23"/>
          <w:szCs w:val="23"/>
        </w:rPr>
        <w:t xml:space="preserve">Не используйте </w:t>
      </w:r>
      <w:r w:rsidR="00A06334">
        <w:rPr>
          <w:color w:val="auto"/>
          <w:sz w:val="23"/>
          <w:szCs w:val="23"/>
        </w:rPr>
        <w:t>наборы</w:t>
      </w:r>
      <w:r w:rsidR="001C1F72" w:rsidRPr="00331F05">
        <w:rPr>
          <w:color w:val="auto"/>
          <w:sz w:val="23"/>
          <w:szCs w:val="23"/>
        </w:rPr>
        <w:t xml:space="preserve"> </w:t>
      </w:r>
      <w:r w:rsidRPr="004522A5">
        <w:rPr>
          <w:rFonts w:eastAsia="DFKai-SB"/>
          <w:sz w:val="23"/>
          <w:szCs w:val="23"/>
        </w:rPr>
        <w:t>с истекшим сроком годности</w:t>
      </w:r>
      <w:r w:rsidR="0012055D" w:rsidRPr="004522A5">
        <w:rPr>
          <w:rFonts w:eastAsia="DFKai-SB"/>
          <w:sz w:val="23"/>
          <w:szCs w:val="23"/>
        </w:rPr>
        <w:t xml:space="preserve">. </w:t>
      </w:r>
    </w:p>
    <w:p w:rsidR="0012055D" w:rsidRDefault="00D8488C" w:rsidP="00466D0D">
      <w:pPr>
        <w:pStyle w:val="Default"/>
        <w:numPr>
          <w:ilvl w:val="0"/>
          <w:numId w:val="9"/>
        </w:numPr>
        <w:spacing w:before="240"/>
        <w:ind w:left="782" w:hanging="357"/>
        <w:rPr>
          <w:rFonts w:eastAsia="DFKai-SB"/>
          <w:b/>
          <w:bCs/>
          <w:sz w:val="32"/>
          <w:szCs w:val="32"/>
        </w:rPr>
      </w:pPr>
      <w:r w:rsidRPr="004522A5">
        <w:rPr>
          <w:rFonts w:eastAsia="DFKai-SB"/>
          <w:b/>
          <w:bCs/>
          <w:sz w:val="32"/>
          <w:szCs w:val="32"/>
        </w:rPr>
        <w:t xml:space="preserve">Отбор и подготовка проб </w:t>
      </w:r>
    </w:p>
    <w:p w:rsidR="0012055D" w:rsidRDefault="00652E4A" w:rsidP="00565E47">
      <w:pPr>
        <w:pStyle w:val="Default"/>
        <w:numPr>
          <w:ilvl w:val="0"/>
          <w:numId w:val="15"/>
        </w:numPr>
        <w:spacing w:before="120" w:after="120"/>
        <w:ind w:left="851" w:hanging="414"/>
        <w:jc w:val="both"/>
        <w:rPr>
          <w:rFonts w:eastAsia="DFKai-SB"/>
          <w:sz w:val="23"/>
          <w:szCs w:val="23"/>
        </w:rPr>
      </w:pPr>
      <w:r w:rsidRPr="004522A5">
        <w:rPr>
          <w:rFonts w:eastAsia="DFKai-SB"/>
          <w:sz w:val="23"/>
          <w:szCs w:val="23"/>
        </w:rPr>
        <w:t xml:space="preserve">С </w:t>
      </w:r>
      <w:r w:rsidR="00AD7242">
        <w:rPr>
          <w:rFonts w:eastAsia="DFKai-SB"/>
          <w:sz w:val="23"/>
          <w:szCs w:val="23"/>
        </w:rPr>
        <w:t>помощью</w:t>
      </w:r>
      <w:r w:rsidR="00C82667" w:rsidRPr="004522A5">
        <w:rPr>
          <w:rFonts w:eastAsia="DFKai-SB"/>
          <w:sz w:val="23"/>
          <w:szCs w:val="23"/>
        </w:rPr>
        <w:t xml:space="preserve"> </w:t>
      </w:r>
      <w:r w:rsidR="00312459">
        <w:rPr>
          <w:color w:val="auto"/>
          <w:sz w:val="23"/>
          <w:szCs w:val="23"/>
        </w:rPr>
        <w:t>набор</w:t>
      </w:r>
      <w:r w:rsidR="0073056E">
        <w:rPr>
          <w:color w:val="auto"/>
          <w:sz w:val="23"/>
          <w:szCs w:val="23"/>
        </w:rPr>
        <w:t>а</w:t>
      </w:r>
      <w:r w:rsidR="0073056E" w:rsidRPr="00331F05">
        <w:rPr>
          <w:color w:val="auto"/>
          <w:sz w:val="23"/>
          <w:szCs w:val="23"/>
        </w:rPr>
        <w:t xml:space="preserve"> для </w:t>
      </w:r>
      <w:r w:rsidR="007C709B">
        <w:rPr>
          <w:color w:val="auto"/>
          <w:sz w:val="23"/>
          <w:szCs w:val="23"/>
        </w:rPr>
        <w:t>определе</w:t>
      </w:r>
      <w:r w:rsidR="0073056E" w:rsidRPr="00331F05">
        <w:rPr>
          <w:color w:val="auto"/>
          <w:sz w:val="23"/>
          <w:szCs w:val="23"/>
        </w:rPr>
        <w:t xml:space="preserve">ния </w:t>
      </w:r>
      <w:r w:rsidR="00E1504A" w:rsidRPr="004D0D87">
        <w:rPr>
          <w:lang w:val="en-US"/>
        </w:rPr>
        <w:t>S</w:t>
      </w:r>
      <w:r w:rsidR="00E1504A">
        <w:rPr>
          <w:lang w:val="en-US"/>
        </w:rPr>
        <w:t>DM</w:t>
      </w:r>
      <w:r w:rsidR="00E1504A" w:rsidRPr="004D0D87">
        <w:rPr>
          <w:lang w:val="en-US"/>
        </w:rPr>
        <w:t>A</w:t>
      </w:r>
      <w:r w:rsidR="00F14349" w:rsidRPr="00C835B6">
        <w:rPr>
          <w:sz w:val="23"/>
          <w:szCs w:val="23"/>
        </w:rPr>
        <w:t xml:space="preserve"> </w:t>
      </w:r>
      <w:r w:rsidR="0073056E" w:rsidRPr="004522A5">
        <w:rPr>
          <w:sz w:val="23"/>
          <w:szCs w:val="23"/>
          <w:lang w:val="en-US"/>
        </w:rPr>
        <w:t>skyla</w:t>
      </w:r>
      <w:r w:rsidR="0073056E" w:rsidRPr="004522A5">
        <w:rPr>
          <w:sz w:val="23"/>
          <w:szCs w:val="23"/>
        </w:rPr>
        <w:t xml:space="preserve"> </w:t>
      </w:r>
      <w:r w:rsidRPr="004522A5">
        <w:rPr>
          <w:rFonts w:eastAsia="DFKai-SB"/>
          <w:sz w:val="23"/>
          <w:szCs w:val="23"/>
        </w:rPr>
        <w:t xml:space="preserve">могут исследоваться </w:t>
      </w:r>
      <w:r w:rsidR="00C82667" w:rsidRPr="004522A5">
        <w:rPr>
          <w:rFonts w:eastAsia="DFKai-SB"/>
          <w:sz w:val="23"/>
          <w:szCs w:val="23"/>
        </w:rPr>
        <w:t xml:space="preserve">плазма с литий-гепарином, сыворотка и </w:t>
      </w:r>
      <w:r w:rsidR="00AE343A" w:rsidRPr="004522A5">
        <w:rPr>
          <w:rFonts w:eastAsia="DFKai-SB"/>
          <w:sz w:val="23"/>
          <w:szCs w:val="23"/>
        </w:rPr>
        <w:t xml:space="preserve">контрольные </w:t>
      </w:r>
      <w:r w:rsidR="00C82667" w:rsidRPr="004522A5">
        <w:rPr>
          <w:rFonts w:eastAsia="DFKai-SB"/>
          <w:sz w:val="23"/>
          <w:szCs w:val="23"/>
        </w:rPr>
        <w:t>материалы</w:t>
      </w:r>
      <w:r w:rsidR="0012055D" w:rsidRPr="004522A5">
        <w:rPr>
          <w:rFonts w:eastAsia="DFKai-SB"/>
          <w:sz w:val="23"/>
          <w:szCs w:val="23"/>
        </w:rPr>
        <w:t xml:space="preserve">. </w:t>
      </w:r>
      <w:r w:rsidR="00312459">
        <w:rPr>
          <w:rFonts w:eastAsia="DFKai-SB"/>
          <w:sz w:val="23"/>
          <w:szCs w:val="23"/>
        </w:rPr>
        <w:t>Для каждого теста т</w:t>
      </w:r>
      <w:r w:rsidRPr="004522A5">
        <w:rPr>
          <w:rFonts w:eastAsia="DFKai-SB"/>
          <w:sz w:val="23"/>
          <w:szCs w:val="23"/>
        </w:rPr>
        <w:t>ребуется</w:t>
      </w:r>
      <w:r w:rsidR="0012055D" w:rsidRPr="004522A5">
        <w:rPr>
          <w:rFonts w:eastAsia="DFKai-SB"/>
          <w:sz w:val="23"/>
          <w:szCs w:val="23"/>
        </w:rPr>
        <w:t xml:space="preserve"> </w:t>
      </w:r>
      <w:r w:rsidR="009B057C">
        <w:rPr>
          <w:rFonts w:eastAsia="DFKai-SB"/>
          <w:sz w:val="23"/>
          <w:szCs w:val="23"/>
        </w:rPr>
        <w:t>5</w:t>
      </w:r>
      <w:r w:rsidR="0012055D" w:rsidRPr="004522A5">
        <w:rPr>
          <w:rFonts w:eastAsia="DFKai-SB"/>
          <w:sz w:val="23"/>
          <w:szCs w:val="23"/>
        </w:rPr>
        <w:t xml:space="preserve"> </w:t>
      </w:r>
      <w:r w:rsidR="00597D01" w:rsidRPr="004522A5">
        <w:rPr>
          <w:rFonts w:eastAsia="DFKai-SB"/>
          <w:sz w:val="23"/>
          <w:szCs w:val="23"/>
        </w:rPr>
        <w:t>мкл</w:t>
      </w:r>
      <w:r w:rsidRPr="004522A5">
        <w:rPr>
          <w:rFonts w:eastAsia="DFKai-SB"/>
          <w:sz w:val="23"/>
          <w:szCs w:val="23"/>
        </w:rPr>
        <w:t xml:space="preserve"> пробы</w:t>
      </w:r>
      <w:r w:rsidR="0012055D" w:rsidRPr="004522A5">
        <w:rPr>
          <w:rFonts w:eastAsia="DFKai-SB"/>
          <w:sz w:val="23"/>
          <w:szCs w:val="23"/>
        </w:rPr>
        <w:t>.</w:t>
      </w:r>
      <w:r w:rsidR="00AE343A" w:rsidRPr="004522A5">
        <w:rPr>
          <w:rFonts w:eastAsia="DFKai-SB"/>
          <w:sz w:val="23"/>
          <w:szCs w:val="23"/>
        </w:rPr>
        <w:t xml:space="preserve"> </w:t>
      </w:r>
    </w:p>
    <w:p w:rsidR="00312459" w:rsidRPr="004522A5" w:rsidRDefault="00312459" w:rsidP="00565E47">
      <w:pPr>
        <w:pStyle w:val="Default"/>
        <w:numPr>
          <w:ilvl w:val="0"/>
          <w:numId w:val="15"/>
        </w:numPr>
        <w:spacing w:after="120"/>
        <w:ind w:left="851" w:hanging="414"/>
        <w:jc w:val="both"/>
        <w:rPr>
          <w:rFonts w:eastAsia="DFKai-SB"/>
          <w:sz w:val="23"/>
          <w:szCs w:val="23"/>
        </w:rPr>
      </w:pPr>
      <w:r>
        <w:rPr>
          <w:rFonts w:eastAsia="DFKai-SB"/>
          <w:sz w:val="23"/>
          <w:szCs w:val="23"/>
        </w:rPr>
        <w:t>При использовании проб цельной крови их следует центрифугировать перед исследованием</w:t>
      </w:r>
      <w:r w:rsidR="009B057C">
        <w:rPr>
          <w:rFonts w:eastAsia="DFKai-SB"/>
          <w:sz w:val="23"/>
          <w:szCs w:val="23"/>
        </w:rPr>
        <w:t>.</w:t>
      </w:r>
    </w:p>
    <w:p w:rsidR="0012055D" w:rsidRDefault="00AD7242" w:rsidP="00565E47">
      <w:pPr>
        <w:pStyle w:val="Default"/>
        <w:numPr>
          <w:ilvl w:val="0"/>
          <w:numId w:val="15"/>
        </w:numPr>
        <w:spacing w:after="120"/>
        <w:ind w:left="851" w:hanging="414"/>
        <w:jc w:val="both"/>
        <w:rPr>
          <w:sz w:val="23"/>
          <w:szCs w:val="23"/>
        </w:rPr>
      </w:pPr>
      <w:r>
        <w:rPr>
          <w:sz w:val="23"/>
          <w:szCs w:val="23"/>
        </w:rPr>
        <w:t>Отбор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подготовка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проб</w:t>
      </w:r>
      <w:r w:rsidRPr="00AD7242">
        <w:rPr>
          <w:sz w:val="23"/>
          <w:szCs w:val="23"/>
        </w:rPr>
        <w:t xml:space="preserve">, </w:t>
      </w:r>
      <w:r>
        <w:rPr>
          <w:sz w:val="23"/>
          <w:szCs w:val="23"/>
        </w:rPr>
        <w:t>а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также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дальнейшее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ними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должно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производиться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соответствии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со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стандартными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лабораторными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процедурами и требованиями местного законодательства</w:t>
      </w:r>
      <w:r w:rsidRPr="00AD7242">
        <w:rPr>
          <w:sz w:val="23"/>
          <w:szCs w:val="23"/>
        </w:rPr>
        <w:t xml:space="preserve">. </w:t>
      </w:r>
    </w:p>
    <w:p w:rsidR="00312459" w:rsidRPr="00AD7242" w:rsidRDefault="00312459" w:rsidP="00565E47">
      <w:pPr>
        <w:pStyle w:val="Default"/>
        <w:numPr>
          <w:ilvl w:val="0"/>
          <w:numId w:val="15"/>
        </w:numPr>
        <w:spacing w:after="120"/>
        <w:ind w:left="851" w:hanging="414"/>
        <w:jc w:val="both"/>
        <w:rPr>
          <w:sz w:val="23"/>
          <w:szCs w:val="23"/>
        </w:rPr>
      </w:pPr>
      <w:r>
        <w:rPr>
          <w:sz w:val="23"/>
          <w:szCs w:val="23"/>
        </w:rPr>
        <w:t>Для достижения лучших результатов рекомендуется выполнять тест сразу после отбора пробы.</w:t>
      </w:r>
    </w:p>
    <w:p w:rsidR="009B0983" w:rsidRPr="00AD7242" w:rsidRDefault="009B0983" w:rsidP="0012055D">
      <w:pPr>
        <w:pStyle w:val="Default"/>
        <w:rPr>
          <w:sz w:val="23"/>
          <w:szCs w:val="23"/>
        </w:rPr>
      </w:pPr>
    </w:p>
    <w:p w:rsidR="0073056E" w:rsidRDefault="009B0983" w:rsidP="009B057C">
      <w:pPr>
        <w:pStyle w:val="Default"/>
        <w:ind w:left="709" w:hanging="425"/>
        <w:rPr>
          <w:sz w:val="23"/>
          <w:szCs w:val="23"/>
        </w:rPr>
      </w:pPr>
      <w:r w:rsidRPr="00AD7242">
        <w:rPr>
          <w:b/>
          <w:sz w:val="23"/>
          <w:szCs w:val="23"/>
        </w:rPr>
        <w:t>Замечани</w:t>
      </w:r>
      <w:r w:rsidR="0073056E">
        <w:rPr>
          <w:b/>
          <w:sz w:val="23"/>
          <w:szCs w:val="23"/>
        </w:rPr>
        <w:t>я</w:t>
      </w:r>
      <w:r w:rsidR="0012055D" w:rsidRPr="00AD7242">
        <w:rPr>
          <w:b/>
          <w:sz w:val="23"/>
          <w:szCs w:val="23"/>
        </w:rPr>
        <w:t>:</w:t>
      </w:r>
      <w:r w:rsidR="0012055D" w:rsidRPr="009B0983">
        <w:rPr>
          <w:sz w:val="23"/>
          <w:szCs w:val="23"/>
        </w:rPr>
        <w:t xml:space="preserve"> </w:t>
      </w:r>
    </w:p>
    <w:p w:rsidR="0073056E" w:rsidRPr="006C1CCB" w:rsidRDefault="0073056E" w:rsidP="00565E47">
      <w:pPr>
        <w:pStyle w:val="Default"/>
        <w:numPr>
          <w:ilvl w:val="0"/>
          <w:numId w:val="5"/>
        </w:numPr>
        <w:spacing w:before="120" w:after="120"/>
        <w:ind w:left="851" w:hanging="357"/>
        <w:jc w:val="both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 xml:space="preserve">Центрифугируйте пробы цельной крови в течение </w:t>
      </w:r>
      <w:r w:rsidR="00481E1E">
        <w:rPr>
          <w:b/>
          <w:sz w:val="23"/>
          <w:szCs w:val="23"/>
        </w:rPr>
        <w:t>60 минут</w:t>
      </w:r>
      <w:r w:rsidRPr="006C1CCB">
        <w:rPr>
          <w:b/>
          <w:sz w:val="23"/>
          <w:szCs w:val="23"/>
        </w:rPr>
        <w:t xml:space="preserve"> после </w:t>
      </w:r>
      <w:r w:rsidR="00312459">
        <w:rPr>
          <w:b/>
          <w:sz w:val="23"/>
          <w:szCs w:val="23"/>
        </w:rPr>
        <w:t>от</w:t>
      </w:r>
      <w:r w:rsidRPr="006C1CCB">
        <w:rPr>
          <w:b/>
          <w:sz w:val="23"/>
          <w:szCs w:val="23"/>
        </w:rPr>
        <w:t>бора (при комнатной температуре) для предотвращения осаждения фибрина в крови.</w:t>
      </w:r>
    </w:p>
    <w:p w:rsidR="0012055D" w:rsidRDefault="009B0983" w:rsidP="00565E47">
      <w:pPr>
        <w:pStyle w:val="Default"/>
        <w:numPr>
          <w:ilvl w:val="0"/>
          <w:numId w:val="5"/>
        </w:numPr>
        <w:ind w:left="851" w:hanging="357"/>
        <w:jc w:val="both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 xml:space="preserve">Не используйте образцы, содержащие другие </w:t>
      </w:r>
      <w:r w:rsidR="00E1504A">
        <w:rPr>
          <w:b/>
          <w:sz w:val="23"/>
          <w:szCs w:val="23"/>
        </w:rPr>
        <w:t>анти</w:t>
      </w:r>
      <w:r w:rsidRPr="006C1CCB">
        <w:rPr>
          <w:b/>
          <w:sz w:val="23"/>
          <w:szCs w:val="23"/>
        </w:rPr>
        <w:t>коагулянты. Это приведет к ошибкам в результатах анализа</w:t>
      </w:r>
      <w:r w:rsidR="0012055D" w:rsidRPr="006C1CCB">
        <w:rPr>
          <w:b/>
          <w:sz w:val="23"/>
          <w:szCs w:val="23"/>
        </w:rPr>
        <w:t>.</w:t>
      </w:r>
    </w:p>
    <w:p w:rsidR="00312459" w:rsidRDefault="00312459" w:rsidP="00565E47">
      <w:pPr>
        <w:pStyle w:val="Default"/>
        <w:ind w:left="851" w:hanging="357"/>
        <w:jc w:val="both"/>
        <w:rPr>
          <w:b/>
          <w:sz w:val="23"/>
          <w:szCs w:val="23"/>
        </w:rPr>
      </w:pPr>
    </w:p>
    <w:p w:rsidR="00481E1E" w:rsidRPr="006C1CCB" w:rsidRDefault="00481E1E" w:rsidP="00565E47">
      <w:pPr>
        <w:pStyle w:val="Default"/>
        <w:numPr>
          <w:ilvl w:val="0"/>
          <w:numId w:val="5"/>
        </w:numPr>
        <w:ind w:left="851" w:hanging="357"/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Лип</w:t>
      </w:r>
      <w:r w:rsidR="00312459">
        <w:rPr>
          <w:b/>
          <w:sz w:val="23"/>
          <w:szCs w:val="23"/>
        </w:rPr>
        <w:t>емичные</w:t>
      </w:r>
      <w:proofErr w:type="spellEnd"/>
      <w:r w:rsidR="00312459">
        <w:rPr>
          <w:b/>
          <w:sz w:val="23"/>
          <w:szCs w:val="23"/>
        </w:rPr>
        <w:t xml:space="preserve"> об</w:t>
      </w:r>
      <w:r>
        <w:rPr>
          <w:b/>
          <w:sz w:val="23"/>
          <w:szCs w:val="23"/>
        </w:rPr>
        <w:t>разц</w:t>
      </w:r>
      <w:r w:rsidR="00312459">
        <w:rPr>
          <w:b/>
          <w:sz w:val="23"/>
          <w:szCs w:val="23"/>
        </w:rPr>
        <w:t>ы</w:t>
      </w:r>
      <w:r>
        <w:rPr>
          <w:b/>
          <w:sz w:val="23"/>
          <w:szCs w:val="23"/>
        </w:rPr>
        <w:t xml:space="preserve"> мо</w:t>
      </w:r>
      <w:r w:rsidR="009B057C">
        <w:rPr>
          <w:b/>
          <w:sz w:val="23"/>
          <w:szCs w:val="23"/>
        </w:rPr>
        <w:t>гу</w:t>
      </w:r>
      <w:r>
        <w:rPr>
          <w:b/>
          <w:sz w:val="23"/>
          <w:szCs w:val="23"/>
        </w:rPr>
        <w:t xml:space="preserve">т </w:t>
      </w:r>
      <w:r w:rsidR="009B057C">
        <w:rPr>
          <w:b/>
          <w:sz w:val="23"/>
          <w:szCs w:val="23"/>
        </w:rPr>
        <w:t xml:space="preserve">также </w:t>
      </w:r>
      <w:r>
        <w:rPr>
          <w:b/>
          <w:sz w:val="23"/>
          <w:szCs w:val="23"/>
        </w:rPr>
        <w:t>повлиять на результат</w:t>
      </w:r>
      <w:r w:rsidR="00786B85">
        <w:rPr>
          <w:b/>
          <w:sz w:val="23"/>
          <w:szCs w:val="23"/>
        </w:rPr>
        <w:t xml:space="preserve">. </w:t>
      </w:r>
      <w:r w:rsidR="003730BE" w:rsidRPr="003730BE">
        <w:rPr>
          <w:b/>
          <w:sz w:val="23"/>
          <w:szCs w:val="23"/>
        </w:rPr>
        <w:t>Д</w:t>
      </w:r>
      <w:r w:rsidR="003730BE">
        <w:rPr>
          <w:b/>
          <w:sz w:val="23"/>
          <w:szCs w:val="23"/>
        </w:rPr>
        <w:t xml:space="preserve">ля получения </w:t>
      </w:r>
      <w:r w:rsidR="009B057C">
        <w:rPr>
          <w:b/>
          <w:sz w:val="23"/>
          <w:szCs w:val="23"/>
        </w:rPr>
        <w:t>надежных</w:t>
      </w:r>
      <w:r w:rsidR="003730BE">
        <w:rPr>
          <w:b/>
          <w:sz w:val="23"/>
          <w:szCs w:val="23"/>
        </w:rPr>
        <w:t xml:space="preserve"> результатов, если образец очевидно мутный, рекомендуется его </w:t>
      </w:r>
      <w:proofErr w:type="spellStart"/>
      <w:r w:rsidR="003730BE">
        <w:rPr>
          <w:b/>
          <w:sz w:val="23"/>
          <w:szCs w:val="23"/>
        </w:rPr>
        <w:t>отцентрифугировать</w:t>
      </w:r>
      <w:proofErr w:type="spellEnd"/>
      <w:r w:rsidR="003730BE">
        <w:rPr>
          <w:b/>
          <w:sz w:val="23"/>
          <w:szCs w:val="23"/>
        </w:rPr>
        <w:t xml:space="preserve"> </w:t>
      </w:r>
      <w:r w:rsidR="00921A66">
        <w:rPr>
          <w:b/>
          <w:sz w:val="23"/>
          <w:szCs w:val="23"/>
        </w:rPr>
        <w:t xml:space="preserve">перед началом теста </w:t>
      </w:r>
      <w:r w:rsidR="003730BE">
        <w:rPr>
          <w:b/>
          <w:sz w:val="23"/>
          <w:szCs w:val="23"/>
        </w:rPr>
        <w:t xml:space="preserve">на высокоскоростной центрифуге (10000 </w:t>
      </w:r>
      <w:r w:rsidR="003730BE">
        <w:rPr>
          <w:b/>
          <w:sz w:val="23"/>
          <w:szCs w:val="23"/>
          <w:lang w:val="en-US"/>
        </w:rPr>
        <w:t>g</w:t>
      </w:r>
      <w:r w:rsidR="003730BE" w:rsidRPr="003730BE">
        <w:rPr>
          <w:b/>
          <w:sz w:val="23"/>
          <w:szCs w:val="23"/>
        </w:rPr>
        <w:t xml:space="preserve">) </w:t>
      </w:r>
      <w:r w:rsidR="003730BE">
        <w:rPr>
          <w:b/>
          <w:sz w:val="23"/>
          <w:szCs w:val="23"/>
        </w:rPr>
        <w:t xml:space="preserve">для удаления липидного слоя из </w:t>
      </w:r>
      <w:proofErr w:type="spellStart"/>
      <w:r w:rsidR="003730BE">
        <w:rPr>
          <w:b/>
          <w:sz w:val="23"/>
          <w:szCs w:val="23"/>
        </w:rPr>
        <w:t>надосадочной</w:t>
      </w:r>
      <w:proofErr w:type="spellEnd"/>
      <w:r w:rsidR="003730BE">
        <w:rPr>
          <w:b/>
          <w:sz w:val="23"/>
          <w:szCs w:val="23"/>
        </w:rPr>
        <w:t xml:space="preserve"> жидкости.</w:t>
      </w:r>
    </w:p>
    <w:p w:rsidR="0012055D" w:rsidRPr="00BE6D0B" w:rsidRDefault="00C67C1A" w:rsidP="00776E9A">
      <w:pPr>
        <w:pStyle w:val="Default"/>
        <w:spacing w:before="12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12055D" w:rsidRPr="008E79AA">
        <w:rPr>
          <w:b/>
          <w:bCs/>
          <w:sz w:val="32"/>
          <w:szCs w:val="32"/>
        </w:rPr>
        <w:t xml:space="preserve">. </w:t>
      </w:r>
      <w:r w:rsidR="00BE6D0B">
        <w:rPr>
          <w:b/>
          <w:bCs/>
          <w:sz w:val="32"/>
          <w:szCs w:val="32"/>
        </w:rPr>
        <w:t>Процесс анализа</w:t>
      </w:r>
    </w:p>
    <w:p w:rsidR="008E79AA" w:rsidRPr="00921A66" w:rsidRDefault="00EB4161" w:rsidP="00E7233B">
      <w:pPr>
        <w:pStyle w:val="Default"/>
        <w:spacing w:before="120" w:after="1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326DB" w:rsidRPr="00921A66">
        <w:rPr>
          <w:b/>
          <w:i/>
          <w:sz w:val="28"/>
          <w:szCs w:val="28"/>
        </w:rPr>
        <w:t>Подготовка набора к тесту</w:t>
      </w:r>
    </w:p>
    <w:p w:rsidR="008E79AA" w:rsidRDefault="008E79AA" w:rsidP="00683F0C">
      <w:pPr>
        <w:pStyle w:val="Default"/>
        <w:numPr>
          <w:ilvl w:val="0"/>
          <w:numId w:val="10"/>
        </w:numPr>
        <w:spacing w:after="120"/>
        <w:ind w:left="567" w:hanging="218"/>
        <w:rPr>
          <w:sz w:val="23"/>
          <w:szCs w:val="23"/>
        </w:rPr>
      </w:pPr>
      <w:r>
        <w:rPr>
          <w:sz w:val="23"/>
          <w:szCs w:val="23"/>
        </w:rPr>
        <w:t xml:space="preserve">Откройте фольгированный пакет и достаньте </w:t>
      </w:r>
      <w:r w:rsidR="00AF2A2A">
        <w:rPr>
          <w:sz w:val="23"/>
          <w:szCs w:val="23"/>
        </w:rPr>
        <w:t>набор (состоит из</w:t>
      </w:r>
      <w:r w:rsidR="001C1F72">
        <w:rPr>
          <w:sz w:val="23"/>
          <w:szCs w:val="23"/>
        </w:rPr>
        <w:t xml:space="preserve"> картридж</w:t>
      </w:r>
      <w:r w:rsidR="00AF2A2A">
        <w:rPr>
          <w:sz w:val="23"/>
          <w:szCs w:val="23"/>
        </w:rPr>
        <w:t>а и упаковки с реагентами)</w:t>
      </w:r>
      <w:r w:rsidRPr="005F39FE">
        <w:rPr>
          <w:sz w:val="23"/>
          <w:szCs w:val="23"/>
        </w:rPr>
        <w:t>.</w:t>
      </w:r>
    </w:p>
    <w:p w:rsidR="00AF2A2A" w:rsidRPr="005F39FE" w:rsidRDefault="00AF2A2A" w:rsidP="00683F0C">
      <w:pPr>
        <w:pStyle w:val="Default"/>
        <w:spacing w:after="120"/>
        <w:ind w:left="567" w:hanging="218"/>
        <w:rPr>
          <w:sz w:val="23"/>
          <w:szCs w:val="23"/>
        </w:rPr>
      </w:pPr>
      <w:r w:rsidRPr="006326DB">
        <w:rPr>
          <w:b/>
          <w:sz w:val="23"/>
          <w:szCs w:val="23"/>
        </w:rPr>
        <w:lastRenderedPageBreak/>
        <w:t>Замечание</w:t>
      </w:r>
      <w:r w:rsidR="006326DB">
        <w:rPr>
          <w:sz w:val="23"/>
          <w:szCs w:val="23"/>
        </w:rPr>
        <w:t xml:space="preserve">: Подготовьте бумагу для </w:t>
      </w:r>
      <w:r w:rsidR="00073CE4">
        <w:rPr>
          <w:sz w:val="23"/>
          <w:szCs w:val="23"/>
        </w:rPr>
        <w:t>подготов</w:t>
      </w:r>
      <w:r w:rsidR="006326DB">
        <w:rPr>
          <w:sz w:val="23"/>
          <w:szCs w:val="23"/>
        </w:rPr>
        <w:t>ки пробы</w:t>
      </w:r>
    </w:p>
    <w:p w:rsidR="008E79AA" w:rsidRDefault="006326DB" w:rsidP="00D87EFD">
      <w:pPr>
        <w:pStyle w:val="Default"/>
        <w:numPr>
          <w:ilvl w:val="0"/>
          <w:numId w:val="10"/>
        </w:numPr>
        <w:spacing w:after="120"/>
        <w:ind w:left="567" w:hanging="2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Достаньте упаковку с реагентами из картриджа и снимите желтую крышку с капиллярной трубки перед использованием </w:t>
      </w:r>
      <w:r w:rsidR="005875BE">
        <w:rPr>
          <w:sz w:val="23"/>
          <w:szCs w:val="23"/>
        </w:rPr>
        <w:t xml:space="preserve"> </w:t>
      </w:r>
    </w:p>
    <w:p w:rsidR="006326DB" w:rsidRPr="006326DB" w:rsidRDefault="006326DB" w:rsidP="009B057C">
      <w:pPr>
        <w:pStyle w:val="Default"/>
        <w:spacing w:before="240" w:after="120"/>
        <w:ind w:left="357" w:hanging="215"/>
        <w:rPr>
          <w:b/>
          <w:i/>
          <w:sz w:val="28"/>
          <w:szCs w:val="28"/>
        </w:rPr>
      </w:pPr>
      <w:proofErr w:type="spellStart"/>
      <w:r w:rsidRPr="006326DB">
        <w:rPr>
          <w:b/>
          <w:i/>
          <w:sz w:val="28"/>
          <w:szCs w:val="28"/>
        </w:rPr>
        <w:t>Пробоподготовка</w:t>
      </w:r>
      <w:proofErr w:type="spellEnd"/>
    </w:p>
    <w:p w:rsidR="005875BE" w:rsidRDefault="005875BE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6326DB">
        <w:rPr>
          <w:sz w:val="23"/>
          <w:szCs w:val="23"/>
        </w:rPr>
        <w:t>Возьмите отцентрифугированную пробу</w:t>
      </w:r>
      <w:r>
        <w:rPr>
          <w:sz w:val="23"/>
          <w:szCs w:val="23"/>
        </w:rPr>
        <w:t>.</w:t>
      </w:r>
    </w:p>
    <w:p w:rsidR="008E79AA" w:rsidRDefault="006C1CCB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8E79AA" w:rsidRPr="00FF2AC6">
        <w:rPr>
          <w:sz w:val="23"/>
          <w:szCs w:val="23"/>
        </w:rPr>
        <w:t xml:space="preserve">. </w:t>
      </w:r>
      <w:r w:rsidR="008E79AA">
        <w:rPr>
          <w:sz w:val="23"/>
          <w:szCs w:val="23"/>
        </w:rPr>
        <w:t>С</w:t>
      </w:r>
      <w:r w:rsidR="008E79AA" w:rsidRPr="00FF2AC6"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помощью</w:t>
      </w:r>
      <w:r w:rsidR="008E79AA" w:rsidRPr="00FF2AC6">
        <w:rPr>
          <w:sz w:val="23"/>
          <w:szCs w:val="23"/>
        </w:rPr>
        <w:t xml:space="preserve"> </w:t>
      </w:r>
      <w:r w:rsidR="006326DB">
        <w:rPr>
          <w:sz w:val="23"/>
          <w:szCs w:val="23"/>
        </w:rPr>
        <w:t>пипетки или</w:t>
      </w:r>
      <w:r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дозатора</w:t>
      </w:r>
      <w:r w:rsidR="008E79AA" w:rsidRPr="00FF2AC6">
        <w:rPr>
          <w:sz w:val="23"/>
          <w:szCs w:val="23"/>
        </w:rPr>
        <w:t xml:space="preserve"> </w:t>
      </w:r>
      <w:r w:rsidR="00073CE4">
        <w:rPr>
          <w:sz w:val="23"/>
          <w:szCs w:val="23"/>
        </w:rPr>
        <w:t xml:space="preserve">возьмите 1 каплю </w:t>
      </w:r>
      <w:r w:rsidR="008E79AA">
        <w:rPr>
          <w:sz w:val="23"/>
          <w:szCs w:val="23"/>
        </w:rPr>
        <w:t xml:space="preserve">пробы </w:t>
      </w:r>
      <w:r w:rsidR="00073CE4">
        <w:rPr>
          <w:sz w:val="23"/>
          <w:szCs w:val="23"/>
        </w:rPr>
        <w:t>(</w:t>
      </w:r>
      <w:r w:rsidR="00142231" w:rsidRPr="000F3CE3">
        <w:rPr>
          <w:sz w:val="23"/>
          <w:szCs w:val="23"/>
        </w:rPr>
        <w:t>&gt;</w:t>
      </w:r>
      <w:r w:rsidR="00D87EFD">
        <w:rPr>
          <w:sz w:val="23"/>
          <w:szCs w:val="23"/>
        </w:rPr>
        <w:t>10</w:t>
      </w:r>
      <w:r w:rsidR="00073CE4">
        <w:rPr>
          <w:sz w:val="23"/>
          <w:szCs w:val="23"/>
        </w:rPr>
        <w:t xml:space="preserve"> мкл) из пробирки</w:t>
      </w:r>
      <w:r w:rsidR="008E79AA" w:rsidRPr="00FF2AC6">
        <w:rPr>
          <w:sz w:val="23"/>
          <w:szCs w:val="23"/>
        </w:rPr>
        <w:t>.</w:t>
      </w:r>
    </w:p>
    <w:p w:rsidR="00073CE4" w:rsidRPr="00A36DD7" w:rsidRDefault="00073CE4" w:rsidP="00D87EFD">
      <w:pPr>
        <w:pStyle w:val="Default"/>
        <w:spacing w:after="120"/>
        <w:ind w:left="720" w:hanging="294"/>
        <w:jc w:val="both"/>
        <w:rPr>
          <w:b/>
          <w:sz w:val="23"/>
          <w:szCs w:val="23"/>
        </w:rPr>
      </w:pPr>
      <w:r w:rsidRPr="006326DB">
        <w:rPr>
          <w:b/>
          <w:sz w:val="23"/>
          <w:szCs w:val="23"/>
        </w:rPr>
        <w:t>Замечание</w:t>
      </w:r>
      <w:r>
        <w:rPr>
          <w:sz w:val="23"/>
          <w:szCs w:val="23"/>
        </w:rPr>
        <w:t xml:space="preserve">: </w:t>
      </w:r>
      <w:r w:rsidRPr="00A36DD7">
        <w:rPr>
          <w:b/>
          <w:sz w:val="23"/>
          <w:szCs w:val="23"/>
        </w:rPr>
        <w:t xml:space="preserve">Пробу для тестирования следует отбирать из прозрачной фракции </w:t>
      </w:r>
      <w:proofErr w:type="spellStart"/>
      <w:r w:rsidRPr="00A36DD7">
        <w:rPr>
          <w:b/>
          <w:sz w:val="23"/>
          <w:szCs w:val="23"/>
        </w:rPr>
        <w:t>отцентрифугированной</w:t>
      </w:r>
      <w:proofErr w:type="spellEnd"/>
      <w:r w:rsidRPr="00A36DD7">
        <w:rPr>
          <w:b/>
          <w:sz w:val="23"/>
          <w:szCs w:val="23"/>
        </w:rPr>
        <w:t xml:space="preserve"> крови</w:t>
      </w:r>
      <w:r w:rsidR="00D87EFD" w:rsidRPr="00A36DD7">
        <w:rPr>
          <w:b/>
          <w:sz w:val="23"/>
          <w:szCs w:val="23"/>
        </w:rPr>
        <w:t>.</w:t>
      </w:r>
    </w:p>
    <w:p w:rsidR="006C1CCB" w:rsidRDefault="00921A66" w:rsidP="00D87EFD">
      <w:pPr>
        <w:pStyle w:val="Default"/>
        <w:spacing w:after="12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073CE4">
        <w:rPr>
          <w:sz w:val="23"/>
          <w:szCs w:val="23"/>
        </w:rPr>
        <w:t>Поместите каплю на бумагу</w:t>
      </w:r>
      <w:r w:rsidR="006C1CCB">
        <w:rPr>
          <w:sz w:val="23"/>
          <w:szCs w:val="23"/>
        </w:rPr>
        <w:t>.</w:t>
      </w:r>
    </w:p>
    <w:p w:rsidR="00073CE4" w:rsidRDefault="00921A66" w:rsidP="00D87EFD">
      <w:pPr>
        <w:pStyle w:val="Default"/>
        <w:spacing w:after="120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073CE4">
        <w:rPr>
          <w:sz w:val="23"/>
          <w:szCs w:val="23"/>
        </w:rPr>
        <w:t>В течение 3 минут используйте</w:t>
      </w:r>
      <w:r>
        <w:rPr>
          <w:sz w:val="23"/>
          <w:szCs w:val="23"/>
        </w:rPr>
        <w:t xml:space="preserve"> упаковку с реагентами для отбора пробы. Коснитесь пробы </w:t>
      </w:r>
      <w:r w:rsidR="00EB4161">
        <w:rPr>
          <w:sz w:val="23"/>
          <w:szCs w:val="23"/>
        </w:rPr>
        <w:t>капиллярной трубкой и осуществляйте забор в течение 3 секунд до полного заполнения капилляра.</w:t>
      </w:r>
    </w:p>
    <w:p w:rsidR="00EB4161" w:rsidRPr="006326DB" w:rsidRDefault="00EB4161" w:rsidP="00D87EFD">
      <w:pPr>
        <w:pStyle w:val="Default"/>
        <w:spacing w:before="240" w:after="120"/>
        <w:ind w:left="357" w:hanging="21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Выполнение теста</w:t>
      </w:r>
    </w:p>
    <w:p w:rsidR="009B057C" w:rsidRPr="009B057C" w:rsidRDefault="009B057C" w:rsidP="00D87EFD">
      <w:pPr>
        <w:pStyle w:val="Default"/>
        <w:tabs>
          <w:tab w:val="left" w:pos="426"/>
        </w:tabs>
        <w:spacing w:after="120"/>
        <w:ind w:left="284" w:firstLine="142"/>
        <w:rPr>
          <w:sz w:val="23"/>
          <w:szCs w:val="23"/>
        </w:rPr>
      </w:pPr>
      <w:r w:rsidRPr="009B057C">
        <w:rPr>
          <w:sz w:val="23"/>
          <w:szCs w:val="23"/>
        </w:rPr>
        <w:t>7. Вставьте упаковку с реагентами в картридж до упора.</w:t>
      </w:r>
    </w:p>
    <w:p w:rsidR="009B057C" w:rsidRPr="009B057C" w:rsidRDefault="009B057C" w:rsidP="00D87EFD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057C">
        <w:rPr>
          <w:rFonts w:ascii="Times New Roman" w:hAnsi="Times New Roman" w:cs="Times New Roman"/>
          <w:color w:val="000000"/>
          <w:sz w:val="23"/>
          <w:szCs w:val="23"/>
        </w:rPr>
        <w:t>8. Поместите картридж на диск-носитель. Нажмите кнопку “</w:t>
      </w:r>
      <w:r w:rsidRPr="009B057C">
        <w:rPr>
          <w:rFonts w:ascii="Times New Roman" w:hAnsi="Times New Roman" w:cs="Times New Roman"/>
          <w:color w:val="000000"/>
          <w:sz w:val="23"/>
          <w:szCs w:val="23"/>
          <w:lang w:val="en-US"/>
        </w:rPr>
        <w:t>Start</w:t>
      </w:r>
      <w:r w:rsidRPr="009B057C">
        <w:rPr>
          <w:rFonts w:ascii="Times New Roman" w:hAnsi="Times New Roman" w:cs="Times New Roman"/>
          <w:color w:val="000000"/>
          <w:sz w:val="23"/>
          <w:szCs w:val="23"/>
        </w:rPr>
        <w:t>” (Пуск) на экране, чтобы открыть реакционный отсек.</w:t>
      </w:r>
    </w:p>
    <w:p w:rsidR="009B057C" w:rsidRPr="009B057C" w:rsidRDefault="009B057C" w:rsidP="00D87EFD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057C">
        <w:rPr>
          <w:rFonts w:ascii="Times New Roman" w:hAnsi="Times New Roman" w:cs="Times New Roman"/>
          <w:color w:val="000000"/>
          <w:sz w:val="23"/>
          <w:szCs w:val="23"/>
        </w:rPr>
        <w:t>9. Поместите диск-носитель в реакционный отсек. Нажмите кнопку “ОК” для начала анализа.</w:t>
      </w:r>
    </w:p>
    <w:p w:rsidR="008E79AA" w:rsidRPr="00D969C0" w:rsidRDefault="008E79AA" w:rsidP="00E7233B">
      <w:pPr>
        <w:pStyle w:val="Default"/>
        <w:spacing w:before="120"/>
        <w:ind w:firstLine="142"/>
        <w:rPr>
          <w:b/>
          <w:sz w:val="23"/>
          <w:szCs w:val="23"/>
        </w:rPr>
      </w:pPr>
      <w:r w:rsidRPr="005F39FE">
        <w:rPr>
          <w:b/>
          <w:sz w:val="23"/>
          <w:szCs w:val="23"/>
        </w:rPr>
        <w:t>Замечания</w:t>
      </w:r>
      <w:r w:rsidRPr="00D969C0">
        <w:rPr>
          <w:b/>
          <w:sz w:val="23"/>
          <w:szCs w:val="23"/>
        </w:rPr>
        <w:t xml:space="preserve">: </w:t>
      </w:r>
    </w:p>
    <w:p w:rsidR="008E79AA" w:rsidRPr="006C1CCB" w:rsidRDefault="00386F0A" w:rsidP="00565E47">
      <w:pPr>
        <w:pStyle w:val="Default"/>
        <w:spacing w:before="120" w:after="120"/>
        <w:ind w:left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</w:t>
      </w:r>
      <w:r w:rsidR="006C1CCB" w:rsidRPr="006C1CCB">
        <w:rPr>
          <w:b/>
          <w:sz w:val="23"/>
          <w:szCs w:val="23"/>
        </w:rPr>
        <w:t xml:space="preserve">. </w:t>
      </w:r>
      <w:r w:rsidR="008E79AA" w:rsidRPr="006C1CCB">
        <w:rPr>
          <w:b/>
          <w:sz w:val="23"/>
          <w:szCs w:val="23"/>
        </w:rPr>
        <w:t xml:space="preserve">При обращении с </w:t>
      </w:r>
      <w:r w:rsidRPr="00386F0A">
        <w:rPr>
          <w:b/>
          <w:sz w:val="23"/>
          <w:szCs w:val="23"/>
        </w:rPr>
        <w:t>картриджем</w:t>
      </w:r>
      <w:r w:rsidR="008E79AA" w:rsidRPr="006C1CCB">
        <w:rPr>
          <w:b/>
          <w:sz w:val="23"/>
          <w:szCs w:val="23"/>
        </w:rPr>
        <w:t xml:space="preserve"> или анализатором надевайте лабораторные перчатки и прочие средства защиты во избежание инфицирования пробой.</w:t>
      </w:r>
    </w:p>
    <w:p w:rsidR="008E79AA" w:rsidRPr="006C1CCB" w:rsidRDefault="00386F0A" w:rsidP="00565E47">
      <w:pPr>
        <w:pStyle w:val="Default"/>
        <w:spacing w:before="120" w:after="120"/>
        <w:ind w:left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</w:t>
      </w:r>
      <w:r w:rsidR="008E79AA" w:rsidRPr="006C1CCB">
        <w:rPr>
          <w:b/>
          <w:sz w:val="23"/>
          <w:szCs w:val="23"/>
        </w:rPr>
        <w:t xml:space="preserve">. Использованные </w:t>
      </w:r>
      <w:r>
        <w:rPr>
          <w:b/>
          <w:sz w:val="23"/>
          <w:szCs w:val="23"/>
        </w:rPr>
        <w:t>наборы</w:t>
      </w:r>
      <w:r w:rsidR="006C1CCB" w:rsidRPr="006C1CCB">
        <w:rPr>
          <w:b/>
          <w:sz w:val="23"/>
          <w:szCs w:val="23"/>
        </w:rPr>
        <w:t>,</w:t>
      </w:r>
      <w:r w:rsidR="008E79AA" w:rsidRPr="006C1CCB">
        <w:rPr>
          <w:b/>
          <w:sz w:val="23"/>
          <w:szCs w:val="23"/>
        </w:rPr>
        <w:t xml:space="preserve"> наконечники дозатора </w:t>
      </w:r>
      <w:r w:rsidR="006C1CCB" w:rsidRPr="006C1CCB">
        <w:rPr>
          <w:b/>
          <w:sz w:val="23"/>
          <w:szCs w:val="23"/>
        </w:rPr>
        <w:t xml:space="preserve">и </w:t>
      </w:r>
      <w:r>
        <w:rPr>
          <w:b/>
          <w:sz w:val="23"/>
          <w:szCs w:val="23"/>
        </w:rPr>
        <w:t>салфетки</w:t>
      </w:r>
      <w:r w:rsidR="006C1CCB" w:rsidRPr="006C1CCB">
        <w:rPr>
          <w:b/>
          <w:sz w:val="23"/>
          <w:szCs w:val="23"/>
        </w:rPr>
        <w:t xml:space="preserve"> для протирки </w:t>
      </w:r>
      <w:r w:rsidR="008E79AA" w:rsidRPr="006C1CCB">
        <w:rPr>
          <w:b/>
          <w:sz w:val="23"/>
          <w:szCs w:val="23"/>
        </w:rPr>
        <w:t xml:space="preserve">следует рассматривать как биологические отходы и обращаться с ними в соответствии с требованиями местного законодательства. </w:t>
      </w:r>
    </w:p>
    <w:p w:rsidR="008E79AA" w:rsidRPr="006C1CCB" w:rsidRDefault="00386F0A" w:rsidP="00565E47">
      <w:pPr>
        <w:pStyle w:val="Default"/>
        <w:spacing w:before="120" w:after="120"/>
        <w:ind w:left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3</w:t>
      </w:r>
      <w:r w:rsidR="008E79AA" w:rsidRPr="006C1CCB">
        <w:rPr>
          <w:b/>
          <w:sz w:val="23"/>
          <w:szCs w:val="23"/>
        </w:rPr>
        <w:t xml:space="preserve">. Анализ следует выполнять </w:t>
      </w:r>
      <w:r>
        <w:rPr>
          <w:b/>
          <w:sz w:val="23"/>
          <w:szCs w:val="23"/>
        </w:rPr>
        <w:t>сразу же</w:t>
      </w:r>
      <w:r w:rsidR="008E79AA" w:rsidRPr="006C1CCB">
        <w:rPr>
          <w:b/>
          <w:sz w:val="23"/>
          <w:szCs w:val="23"/>
        </w:rPr>
        <w:t xml:space="preserve"> после </w:t>
      </w:r>
      <w:r w:rsidR="00A36DD7">
        <w:rPr>
          <w:b/>
          <w:sz w:val="23"/>
          <w:szCs w:val="23"/>
        </w:rPr>
        <w:t>извлечения набора из холодильника</w:t>
      </w:r>
      <w:r w:rsidR="008E79AA" w:rsidRPr="006C1CCB">
        <w:rPr>
          <w:b/>
          <w:sz w:val="23"/>
          <w:szCs w:val="23"/>
        </w:rPr>
        <w:t>.</w:t>
      </w:r>
    </w:p>
    <w:p w:rsidR="008E79AA" w:rsidRPr="006C1CCB" w:rsidRDefault="00386F0A" w:rsidP="00565E47">
      <w:pPr>
        <w:pStyle w:val="Default"/>
        <w:spacing w:before="120" w:after="120"/>
        <w:ind w:left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8E79AA" w:rsidRPr="006C1CCB">
        <w:rPr>
          <w:b/>
          <w:sz w:val="23"/>
          <w:szCs w:val="23"/>
        </w:rPr>
        <w:t xml:space="preserve">. </w:t>
      </w:r>
      <w:r w:rsidR="00A36DD7">
        <w:rPr>
          <w:b/>
          <w:sz w:val="23"/>
          <w:szCs w:val="23"/>
        </w:rPr>
        <w:t xml:space="preserve">Набор, хранящийся при </w:t>
      </w:r>
      <w:r w:rsidR="00A36DD7" w:rsidRPr="00A36DD7">
        <w:rPr>
          <w:b/>
          <w:sz w:val="23"/>
          <w:szCs w:val="23"/>
        </w:rPr>
        <w:t>2 - 8°C</w:t>
      </w:r>
      <w:r w:rsidR="00A36DD7">
        <w:rPr>
          <w:b/>
          <w:sz w:val="23"/>
          <w:szCs w:val="23"/>
        </w:rPr>
        <w:t xml:space="preserve"> может быть использован сразу без его подогрева до комнатной температуры. </w:t>
      </w:r>
      <w:r w:rsidR="008E79AA" w:rsidRPr="006C1CCB">
        <w:rPr>
          <w:b/>
          <w:sz w:val="23"/>
          <w:szCs w:val="23"/>
        </w:rPr>
        <w:t xml:space="preserve">Если </w:t>
      </w:r>
      <w:r w:rsidR="006C1CCB">
        <w:rPr>
          <w:b/>
          <w:sz w:val="23"/>
          <w:szCs w:val="23"/>
        </w:rPr>
        <w:t>картридж</w:t>
      </w:r>
      <w:r w:rsidR="008E79AA" w:rsidRPr="006C1CCB">
        <w:rPr>
          <w:b/>
          <w:sz w:val="23"/>
          <w:szCs w:val="23"/>
        </w:rPr>
        <w:t xml:space="preserve"> или его упаковка повреждены, или срок годности истек, не используйте диск.</w:t>
      </w:r>
    </w:p>
    <w:p w:rsidR="006C1CCB" w:rsidRDefault="006C1CCB" w:rsidP="00D87EFD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Более подробно рабочие шаги и настройка прибора приведены в Руководстве пользователя ветеринарного анализатора </w:t>
      </w:r>
      <w:r w:rsidRPr="00823348">
        <w:rPr>
          <w:sz w:val="23"/>
          <w:szCs w:val="23"/>
          <w:lang w:val="en-US"/>
        </w:rPr>
        <w:t>skyla</w:t>
      </w:r>
      <w:r w:rsidRPr="00D969C0">
        <w:rPr>
          <w:sz w:val="23"/>
          <w:szCs w:val="23"/>
        </w:rPr>
        <w:t xml:space="preserve"> </w:t>
      </w:r>
      <w:r w:rsidR="00386F0A">
        <w:rPr>
          <w:sz w:val="23"/>
          <w:szCs w:val="23"/>
          <w:lang w:val="en-US"/>
        </w:rPr>
        <w:t>Solution</w:t>
      </w:r>
      <w:r w:rsidRPr="00D969C0">
        <w:rPr>
          <w:sz w:val="23"/>
          <w:szCs w:val="23"/>
        </w:rPr>
        <w:t>.</w:t>
      </w:r>
    </w:p>
    <w:p w:rsidR="0012055D" w:rsidRPr="008E79AA" w:rsidRDefault="00C67C1A" w:rsidP="00D87EFD">
      <w:pPr>
        <w:pStyle w:val="Default"/>
        <w:spacing w:before="24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12055D" w:rsidRPr="008E79AA">
        <w:rPr>
          <w:b/>
          <w:bCs/>
          <w:sz w:val="32"/>
          <w:szCs w:val="32"/>
        </w:rPr>
        <w:t xml:space="preserve">. </w:t>
      </w:r>
      <w:r w:rsidR="00D8488C" w:rsidRPr="004522A5">
        <w:rPr>
          <w:b/>
          <w:bCs/>
          <w:sz w:val="32"/>
          <w:szCs w:val="32"/>
        </w:rPr>
        <w:t>Калибровка</w:t>
      </w:r>
    </w:p>
    <w:p w:rsidR="0012055D" w:rsidRDefault="003C46AB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Штрих</w:t>
      </w:r>
      <w:r w:rsidRPr="003C46AB">
        <w:rPr>
          <w:sz w:val="23"/>
          <w:szCs w:val="23"/>
        </w:rPr>
        <w:t>-</w:t>
      </w:r>
      <w:r>
        <w:rPr>
          <w:sz w:val="23"/>
          <w:szCs w:val="23"/>
        </w:rPr>
        <w:t>код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каждом</w:t>
      </w:r>
      <w:r w:rsidRPr="003C46AB">
        <w:rPr>
          <w:sz w:val="23"/>
          <w:szCs w:val="23"/>
        </w:rPr>
        <w:t xml:space="preserve"> </w:t>
      </w:r>
      <w:r w:rsidR="00C67C1A">
        <w:rPr>
          <w:sz w:val="23"/>
          <w:szCs w:val="23"/>
        </w:rPr>
        <w:t>набор</w:t>
      </w:r>
      <w:r>
        <w:rPr>
          <w:sz w:val="23"/>
          <w:szCs w:val="23"/>
        </w:rPr>
        <w:t>е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содержит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всю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информацию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необходимую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для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калибровки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анализируемых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показателей</w:t>
      </w:r>
      <w:r w:rsidR="0012055D" w:rsidRPr="003C46AB">
        <w:rPr>
          <w:sz w:val="23"/>
          <w:szCs w:val="23"/>
        </w:rPr>
        <w:t xml:space="preserve">. </w:t>
      </w:r>
      <w:r>
        <w:rPr>
          <w:sz w:val="23"/>
          <w:szCs w:val="23"/>
        </w:rPr>
        <w:t>Анализатор автоматически считает информацию штрих-кода в процессе анализа</w:t>
      </w:r>
      <w:r w:rsidR="0012055D" w:rsidRPr="003C46AB">
        <w:rPr>
          <w:sz w:val="23"/>
          <w:szCs w:val="23"/>
        </w:rPr>
        <w:t>.</w:t>
      </w:r>
    </w:p>
    <w:p w:rsidR="0012055D" w:rsidRPr="003C46AB" w:rsidRDefault="00C67C1A" w:rsidP="00D87EFD">
      <w:pPr>
        <w:pStyle w:val="Default"/>
        <w:spacing w:before="24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12055D" w:rsidRPr="003C46AB">
        <w:rPr>
          <w:b/>
          <w:bCs/>
          <w:sz w:val="32"/>
          <w:szCs w:val="32"/>
        </w:rPr>
        <w:t xml:space="preserve">. </w:t>
      </w:r>
      <w:r w:rsidR="003C46AB">
        <w:rPr>
          <w:b/>
          <w:bCs/>
          <w:sz w:val="32"/>
          <w:szCs w:val="32"/>
        </w:rPr>
        <w:t>Контроль качества</w:t>
      </w:r>
    </w:p>
    <w:p w:rsidR="0012055D" w:rsidRPr="008E79AA" w:rsidRDefault="003C46AB" w:rsidP="00D87EFD">
      <w:pPr>
        <w:pStyle w:val="Default"/>
        <w:numPr>
          <w:ilvl w:val="0"/>
          <w:numId w:val="13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Подготовка и использование контрольных материалов описаны в соответс</w:t>
      </w:r>
      <w:r w:rsidR="00610BE1">
        <w:rPr>
          <w:sz w:val="23"/>
          <w:szCs w:val="23"/>
        </w:rPr>
        <w:t>т</w:t>
      </w:r>
      <w:r>
        <w:rPr>
          <w:sz w:val="23"/>
          <w:szCs w:val="23"/>
        </w:rPr>
        <w:t xml:space="preserve">вующих инструкциях. </w:t>
      </w:r>
      <w:r w:rsidR="0012055D" w:rsidRPr="003C46AB">
        <w:rPr>
          <w:sz w:val="23"/>
          <w:szCs w:val="23"/>
        </w:rPr>
        <w:t xml:space="preserve"> </w:t>
      </w:r>
      <w:r w:rsidR="00BE6D0B">
        <w:rPr>
          <w:sz w:val="23"/>
          <w:szCs w:val="23"/>
        </w:rPr>
        <w:t xml:space="preserve">В случае расхождений с контрольными значениями рекомендуется выполнить проверочный тест на автоматическом лабораторном анализаторе или обратиться в службу технической поддержки. </w:t>
      </w:r>
    </w:p>
    <w:p w:rsidR="0012055D" w:rsidRPr="00610BE1" w:rsidRDefault="00610BE1" w:rsidP="00D87EFD">
      <w:pPr>
        <w:pStyle w:val="Default"/>
        <w:numPr>
          <w:ilvl w:val="0"/>
          <w:numId w:val="13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Материалы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внешнего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контроля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качества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можно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использовать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для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проверки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точности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работы</w:t>
      </w:r>
      <w:r w:rsidRPr="00610BE1">
        <w:rPr>
          <w:sz w:val="23"/>
          <w:szCs w:val="23"/>
        </w:rPr>
        <w:t xml:space="preserve"> </w:t>
      </w:r>
      <w:r w:rsidR="00864688">
        <w:rPr>
          <w:sz w:val="23"/>
          <w:szCs w:val="23"/>
        </w:rPr>
        <w:t xml:space="preserve">анализатора </w:t>
      </w:r>
      <w:r w:rsidR="00864688" w:rsidRPr="00823348">
        <w:rPr>
          <w:sz w:val="23"/>
          <w:szCs w:val="23"/>
          <w:lang w:val="en-US"/>
        </w:rPr>
        <w:t>skyla</w:t>
      </w:r>
      <w:r>
        <w:rPr>
          <w:sz w:val="23"/>
          <w:szCs w:val="23"/>
        </w:rPr>
        <w:t xml:space="preserve">. Рекомендуем проводить контроль качества в следующих случаях: </w:t>
      </w:r>
    </w:p>
    <w:p w:rsidR="0012055D" w:rsidRPr="009344CE" w:rsidRDefault="0012055D" w:rsidP="00D87EFD">
      <w:pPr>
        <w:pStyle w:val="Default"/>
        <w:spacing w:after="120"/>
        <w:ind w:left="709"/>
        <w:jc w:val="both"/>
        <w:rPr>
          <w:sz w:val="23"/>
          <w:szCs w:val="23"/>
        </w:rPr>
      </w:pPr>
      <w:r w:rsidRPr="009344CE">
        <w:rPr>
          <w:sz w:val="23"/>
          <w:szCs w:val="23"/>
        </w:rPr>
        <w:lastRenderedPageBreak/>
        <w:t xml:space="preserve">- </w:t>
      </w:r>
      <w:r w:rsidR="009344CE">
        <w:rPr>
          <w:sz w:val="23"/>
          <w:szCs w:val="23"/>
        </w:rPr>
        <w:t>Не</w:t>
      </w:r>
      <w:r w:rsidR="009344CE" w:rsidRPr="009344CE">
        <w:rPr>
          <w:sz w:val="23"/>
          <w:szCs w:val="23"/>
        </w:rPr>
        <w:t xml:space="preserve"> </w:t>
      </w:r>
      <w:r w:rsidR="009344CE">
        <w:rPr>
          <w:sz w:val="23"/>
          <w:szCs w:val="23"/>
        </w:rPr>
        <w:t>реже</w:t>
      </w:r>
      <w:r w:rsidR="009344CE" w:rsidRPr="009344CE">
        <w:rPr>
          <w:sz w:val="23"/>
          <w:szCs w:val="23"/>
        </w:rPr>
        <w:t xml:space="preserve"> 1 </w:t>
      </w:r>
      <w:r w:rsidR="009344CE">
        <w:rPr>
          <w:sz w:val="23"/>
          <w:szCs w:val="23"/>
        </w:rPr>
        <w:t>раза</w:t>
      </w:r>
      <w:r w:rsidR="009344CE" w:rsidRPr="009344CE">
        <w:rPr>
          <w:sz w:val="23"/>
          <w:szCs w:val="23"/>
        </w:rPr>
        <w:t xml:space="preserve"> </w:t>
      </w:r>
      <w:r w:rsidR="009344CE">
        <w:rPr>
          <w:sz w:val="23"/>
          <w:szCs w:val="23"/>
        </w:rPr>
        <w:t>в</w:t>
      </w:r>
      <w:r w:rsidR="009344CE" w:rsidRPr="009344CE">
        <w:rPr>
          <w:sz w:val="23"/>
          <w:szCs w:val="23"/>
        </w:rPr>
        <w:t xml:space="preserve"> </w:t>
      </w:r>
      <w:r w:rsidRPr="009344CE">
        <w:rPr>
          <w:sz w:val="23"/>
          <w:szCs w:val="23"/>
        </w:rPr>
        <w:t xml:space="preserve">30 </w:t>
      </w:r>
      <w:r w:rsidR="009344CE">
        <w:rPr>
          <w:sz w:val="23"/>
          <w:szCs w:val="23"/>
        </w:rPr>
        <w:t>дней</w:t>
      </w:r>
      <w:r w:rsidR="00610BE1">
        <w:rPr>
          <w:sz w:val="23"/>
          <w:szCs w:val="23"/>
        </w:rPr>
        <w:t>;</w:t>
      </w:r>
    </w:p>
    <w:p w:rsidR="0012055D" w:rsidRPr="009344CE" w:rsidRDefault="0012055D" w:rsidP="00D87EFD">
      <w:pPr>
        <w:pStyle w:val="Default"/>
        <w:spacing w:after="120"/>
        <w:ind w:left="709"/>
        <w:jc w:val="both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 xml:space="preserve">Перед использованием </w:t>
      </w:r>
      <w:r w:rsidR="00610BE1">
        <w:rPr>
          <w:sz w:val="23"/>
          <w:szCs w:val="23"/>
        </w:rPr>
        <w:t xml:space="preserve">реагентов из </w:t>
      </w:r>
      <w:r w:rsidR="00A36DD7">
        <w:rPr>
          <w:sz w:val="23"/>
          <w:szCs w:val="23"/>
        </w:rPr>
        <w:t>нового лота</w:t>
      </w:r>
      <w:r w:rsidR="00610BE1">
        <w:rPr>
          <w:sz w:val="23"/>
          <w:szCs w:val="23"/>
        </w:rPr>
        <w:t>;</w:t>
      </w:r>
    </w:p>
    <w:p w:rsidR="0012055D" w:rsidRDefault="0012055D" w:rsidP="00D87EFD">
      <w:pPr>
        <w:pStyle w:val="Default"/>
        <w:spacing w:after="120"/>
        <w:ind w:left="709"/>
        <w:jc w:val="both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>При перемещении анализатора или существенном изменении</w:t>
      </w:r>
      <w:r w:rsidR="00C67C1A">
        <w:rPr>
          <w:sz w:val="23"/>
          <w:szCs w:val="23"/>
        </w:rPr>
        <w:t xml:space="preserve"> условий в лаборатории</w:t>
      </w:r>
      <w:r w:rsidRPr="009344CE">
        <w:rPr>
          <w:sz w:val="23"/>
          <w:szCs w:val="23"/>
        </w:rPr>
        <w:t>.</w:t>
      </w:r>
    </w:p>
    <w:p w:rsidR="0012055D" w:rsidRPr="008E79AA" w:rsidRDefault="008958B5" w:rsidP="00776E9A">
      <w:pPr>
        <w:pStyle w:val="Default"/>
        <w:spacing w:before="12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12055D" w:rsidRPr="008E79AA">
        <w:rPr>
          <w:b/>
          <w:bCs/>
          <w:sz w:val="32"/>
          <w:szCs w:val="32"/>
        </w:rPr>
        <w:t xml:space="preserve">. </w:t>
      </w:r>
      <w:r w:rsidR="00E12986">
        <w:rPr>
          <w:b/>
          <w:bCs/>
          <w:sz w:val="32"/>
          <w:szCs w:val="32"/>
        </w:rPr>
        <w:t>Диапазон</w:t>
      </w:r>
      <w:r w:rsidR="00E12986" w:rsidRPr="008E79AA">
        <w:rPr>
          <w:b/>
          <w:bCs/>
          <w:sz w:val="32"/>
          <w:szCs w:val="32"/>
        </w:rPr>
        <w:t xml:space="preserve"> </w:t>
      </w:r>
      <w:proofErr w:type="spellStart"/>
      <w:r w:rsidR="00E12986">
        <w:rPr>
          <w:b/>
          <w:bCs/>
          <w:sz w:val="32"/>
          <w:szCs w:val="32"/>
        </w:rPr>
        <w:t>референсных</w:t>
      </w:r>
      <w:proofErr w:type="spellEnd"/>
      <w:r w:rsidR="00E12986" w:rsidRPr="008E79AA">
        <w:rPr>
          <w:b/>
          <w:bCs/>
          <w:sz w:val="32"/>
          <w:szCs w:val="32"/>
        </w:rPr>
        <w:t xml:space="preserve"> </w:t>
      </w:r>
      <w:r w:rsidR="00E12986">
        <w:rPr>
          <w:b/>
          <w:bCs/>
          <w:sz w:val="32"/>
          <w:szCs w:val="32"/>
        </w:rPr>
        <w:t>норм</w:t>
      </w:r>
    </w:p>
    <w:p w:rsidR="0012055D" w:rsidRDefault="00CC2470" w:rsidP="00142231">
      <w:pPr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Р</w:t>
      </w:r>
      <w:r w:rsidR="00334877" w:rsidRPr="00334877">
        <w:rPr>
          <w:rFonts w:ascii="Times New Roman" w:hAnsi="Times New Roman" w:cs="Times New Roman"/>
          <w:sz w:val="23"/>
          <w:szCs w:val="23"/>
        </w:rPr>
        <w:t>еференсные</w:t>
      </w:r>
      <w:proofErr w:type="spellEnd"/>
      <w:r w:rsidR="00334877" w:rsidRPr="003C46AB">
        <w:rPr>
          <w:rFonts w:ascii="Times New Roman" w:hAnsi="Times New Roman" w:cs="Times New Roman"/>
          <w:sz w:val="23"/>
          <w:szCs w:val="23"/>
        </w:rPr>
        <w:t xml:space="preserve"> </w:t>
      </w:r>
      <w:r w:rsidR="00334877" w:rsidRPr="00334877">
        <w:rPr>
          <w:rFonts w:ascii="Times New Roman" w:hAnsi="Times New Roman" w:cs="Times New Roman"/>
          <w:sz w:val="23"/>
          <w:szCs w:val="23"/>
        </w:rPr>
        <w:t>нормы</w:t>
      </w:r>
      <w:r w:rsidR="00334877" w:rsidRPr="003C46AB">
        <w:rPr>
          <w:rFonts w:ascii="Times New Roman" w:hAnsi="Times New Roman" w:cs="Times New Roman"/>
          <w:sz w:val="23"/>
          <w:szCs w:val="23"/>
        </w:rPr>
        <w:t xml:space="preserve"> </w:t>
      </w:r>
      <w:r w:rsidR="003C46AB">
        <w:rPr>
          <w:rFonts w:ascii="Times New Roman" w:hAnsi="Times New Roman" w:cs="Times New Roman"/>
          <w:sz w:val="23"/>
          <w:szCs w:val="23"/>
        </w:rPr>
        <w:t xml:space="preserve">для </w:t>
      </w:r>
      <w:r w:rsidR="00EB6DC8">
        <w:rPr>
          <w:rFonts w:ascii="Times New Roman" w:hAnsi="Times New Roman" w:cs="Times New Roman"/>
          <w:sz w:val="23"/>
          <w:szCs w:val="23"/>
        </w:rPr>
        <w:t>кошек и лошадей приведены в таблице ниже</w:t>
      </w:r>
      <w:r w:rsidR="0012055D" w:rsidRPr="003C46AB">
        <w:rPr>
          <w:rFonts w:ascii="Times New Roman" w:hAnsi="Times New Roman" w:cs="Times New Roman"/>
          <w:sz w:val="23"/>
          <w:szCs w:val="23"/>
        </w:rPr>
        <w:t xml:space="preserve">. </w:t>
      </w:r>
      <w:r w:rsidR="003C46AB">
        <w:rPr>
          <w:rFonts w:ascii="Times New Roman" w:hAnsi="Times New Roman" w:cs="Times New Roman"/>
          <w:sz w:val="23"/>
          <w:szCs w:val="23"/>
        </w:rPr>
        <w:t xml:space="preserve">Рекомендуется, чтобы каждая лаборатория или клиника устанавливала собственные </w:t>
      </w:r>
      <w:proofErr w:type="spellStart"/>
      <w:r w:rsidR="003C46AB">
        <w:rPr>
          <w:rFonts w:ascii="Times New Roman" w:hAnsi="Times New Roman" w:cs="Times New Roman"/>
          <w:sz w:val="23"/>
          <w:szCs w:val="23"/>
        </w:rPr>
        <w:t>референсные</w:t>
      </w:r>
      <w:proofErr w:type="spellEnd"/>
      <w:r w:rsidR="003C46AB">
        <w:rPr>
          <w:rFonts w:ascii="Times New Roman" w:hAnsi="Times New Roman" w:cs="Times New Roman"/>
          <w:sz w:val="23"/>
          <w:szCs w:val="23"/>
        </w:rPr>
        <w:t xml:space="preserve"> нормы для своих пациентов</w:t>
      </w:r>
      <w:r w:rsidR="00610BE1">
        <w:rPr>
          <w:rFonts w:ascii="Times New Roman" w:hAnsi="Times New Roman" w:cs="Times New Roman"/>
          <w:sz w:val="23"/>
          <w:szCs w:val="23"/>
        </w:rPr>
        <w:t>.</w:t>
      </w:r>
      <w:r w:rsidR="003C46AB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"/>
        <w:gridCol w:w="1195"/>
        <w:gridCol w:w="2835"/>
        <w:gridCol w:w="3963"/>
      </w:tblGrid>
      <w:tr w:rsidR="00E12986" w:rsidRPr="00637719" w:rsidTr="00142231">
        <w:tc>
          <w:tcPr>
            <w:tcW w:w="2126" w:type="dxa"/>
            <w:gridSpan w:val="2"/>
          </w:tcPr>
          <w:p w:rsidR="00E12986" w:rsidRPr="00E7233B" w:rsidRDefault="00637719" w:rsidP="00142231">
            <w:pPr>
              <w:pStyle w:val="Default"/>
              <w:ind w:left="426" w:hanging="115"/>
              <w:jc w:val="both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П</w:t>
            </w:r>
            <w:r w:rsidR="00E12986" w:rsidRPr="00E7233B">
              <w:rPr>
                <w:sz w:val="22"/>
                <w:szCs w:val="22"/>
              </w:rPr>
              <w:t>оказател</w:t>
            </w:r>
            <w:r w:rsidRPr="00E7233B">
              <w:rPr>
                <w:sz w:val="22"/>
                <w:szCs w:val="22"/>
              </w:rPr>
              <w:t>ь</w:t>
            </w:r>
          </w:p>
        </w:tc>
        <w:tc>
          <w:tcPr>
            <w:tcW w:w="2835" w:type="dxa"/>
          </w:tcPr>
          <w:p w:rsidR="00E12986" w:rsidRPr="00E7233B" w:rsidRDefault="00E12986" w:rsidP="00142231">
            <w:pPr>
              <w:pStyle w:val="Default"/>
              <w:ind w:left="426" w:hanging="245"/>
              <w:rPr>
                <w:sz w:val="22"/>
                <w:szCs w:val="22"/>
              </w:rPr>
            </w:pPr>
            <w:proofErr w:type="spellStart"/>
            <w:r w:rsidRPr="00E7233B">
              <w:rPr>
                <w:sz w:val="22"/>
                <w:szCs w:val="22"/>
              </w:rPr>
              <w:t>Референсные</w:t>
            </w:r>
            <w:proofErr w:type="spellEnd"/>
            <w:r w:rsidRPr="00E7233B">
              <w:rPr>
                <w:sz w:val="22"/>
                <w:szCs w:val="22"/>
              </w:rPr>
              <w:t xml:space="preserve"> нормы</w:t>
            </w:r>
          </w:p>
        </w:tc>
        <w:tc>
          <w:tcPr>
            <w:tcW w:w="3963" w:type="dxa"/>
          </w:tcPr>
          <w:p w:rsidR="00E12986" w:rsidRPr="00E7233B" w:rsidRDefault="00E12986" w:rsidP="00142231">
            <w:pPr>
              <w:pStyle w:val="Default"/>
              <w:ind w:left="426" w:hanging="386"/>
              <w:rPr>
                <w:sz w:val="22"/>
                <w:szCs w:val="22"/>
              </w:rPr>
            </w:pPr>
            <w:proofErr w:type="spellStart"/>
            <w:r w:rsidRPr="00E7233B">
              <w:rPr>
                <w:sz w:val="22"/>
                <w:szCs w:val="22"/>
              </w:rPr>
              <w:t>Референсные</w:t>
            </w:r>
            <w:proofErr w:type="spellEnd"/>
            <w:r w:rsidRPr="00E7233B">
              <w:rPr>
                <w:sz w:val="22"/>
                <w:szCs w:val="22"/>
              </w:rPr>
              <w:t xml:space="preserve"> нормы</w:t>
            </w:r>
            <w:r w:rsidR="00B8549C" w:rsidRPr="00E7233B">
              <w:rPr>
                <w:sz w:val="22"/>
                <w:szCs w:val="22"/>
              </w:rPr>
              <w:t xml:space="preserve"> </w:t>
            </w:r>
            <w:r w:rsidRPr="00E7233B">
              <w:rPr>
                <w:sz w:val="22"/>
                <w:szCs w:val="22"/>
              </w:rPr>
              <w:t>(единицы SI)</w:t>
            </w:r>
          </w:p>
        </w:tc>
      </w:tr>
      <w:tr w:rsidR="00C835B6" w:rsidRPr="00637719" w:rsidTr="00142231">
        <w:tc>
          <w:tcPr>
            <w:tcW w:w="931" w:type="dxa"/>
            <w:vMerge w:val="restart"/>
          </w:tcPr>
          <w:p w:rsidR="00C835B6" w:rsidRPr="00A36DD7" w:rsidRDefault="00A36DD7" w:rsidP="00EF3B34">
            <w:pPr>
              <w:rPr>
                <w:rFonts w:ascii="Times New Roman" w:hAnsi="Times New Roman" w:cs="Times New Roman"/>
                <w:lang w:val="en-US"/>
              </w:rPr>
            </w:pPr>
            <w:r w:rsidRPr="00A36DD7">
              <w:rPr>
                <w:rFonts w:ascii="Times New Roman" w:hAnsi="Times New Roman" w:cs="Times New Roman"/>
                <w:lang w:val="en-US"/>
              </w:rPr>
              <w:t>SDMA</w:t>
            </w:r>
          </w:p>
        </w:tc>
        <w:tc>
          <w:tcPr>
            <w:tcW w:w="1195" w:type="dxa"/>
          </w:tcPr>
          <w:p w:rsidR="00C835B6" w:rsidRPr="00E7233B" w:rsidRDefault="00D87EFD" w:rsidP="00857610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Кош</w:t>
            </w:r>
            <w:r w:rsidR="00C835B6" w:rsidRPr="00E7233B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835" w:type="dxa"/>
          </w:tcPr>
          <w:p w:rsidR="00C835B6" w:rsidRPr="00E7233B" w:rsidRDefault="00C835B6" w:rsidP="00A36DD7">
            <w:pPr>
              <w:pStyle w:val="Default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&lt;1</w:t>
            </w:r>
            <w:r w:rsidR="00A36DD7">
              <w:rPr>
                <w:sz w:val="22"/>
                <w:szCs w:val="22"/>
              </w:rPr>
              <w:t>4</w:t>
            </w:r>
            <w:r w:rsidRPr="00E7233B">
              <w:rPr>
                <w:sz w:val="22"/>
                <w:szCs w:val="22"/>
              </w:rPr>
              <w:t xml:space="preserve"> м</w:t>
            </w:r>
            <w:r w:rsidR="00D87EFD" w:rsidRPr="00E7233B">
              <w:rPr>
                <w:sz w:val="22"/>
                <w:szCs w:val="22"/>
              </w:rPr>
              <w:t>к</w:t>
            </w:r>
            <w:r w:rsidRPr="00E7233B">
              <w:rPr>
                <w:sz w:val="22"/>
                <w:szCs w:val="22"/>
              </w:rPr>
              <w:t>г/</w:t>
            </w:r>
            <w:proofErr w:type="spellStart"/>
            <w:r w:rsidR="00A36DD7">
              <w:rPr>
                <w:sz w:val="22"/>
                <w:szCs w:val="22"/>
              </w:rPr>
              <w:t>д</w:t>
            </w:r>
            <w:r w:rsidRPr="00E7233B">
              <w:rPr>
                <w:sz w:val="22"/>
                <w:szCs w:val="22"/>
              </w:rPr>
              <w:t>л</w:t>
            </w:r>
            <w:proofErr w:type="spellEnd"/>
          </w:p>
        </w:tc>
        <w:tc>
          <w:tcPr>
            <w:tcW w:w="3963" w:type="dxa"/>
          </w:tcPr>
          <w:p w:rsidR="00C835B6" w:rsidRPr="00E7233B" w:rsidRDefault="00A36DD7" w:rsidP="00565E47">
            <w:pPr>
              <w:pStyle w:val="Default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&lt;1</w:t>
            </w:r>
            <w:r>
              <w:rPr>
                <w:sz w:val="22"/>
                <w:szCs w:val="22"/>
              </w:rPr>
              <w:t>4</w:t>
            </w:r>
            <w:r w:rsidRPr="00E7233B">
              <w:rPr>
                <w:sz w:val="22"/>
                <w:szCs w:val="22"/>
              </w:rPr>
              <w:t xml:space="preserve"> мкг/</w:t>
            </w:r>
            <w:proofErr w:type="spellStart"/>
            <w:r>
              <w:rPr>
                <w:sz w:val="22"/>
                <w:szCs w:val="22"/>
              </w:rPr>
              <w:t>д</w:t>
            </w:r>
            <w:r w:rsidRPr="00E7233B">
              <w:rPr>
                <w:sz w:val="22"/>
                <w:szCs w:val="22"/>
              </w:rPr>
              <w:t>л</w:t>
            </w:r>
            <w:proofErr w:type="spellEnd"/>
          </w:p>
        </w:tc>
      </w:tr>
      <w:tr w:rsidR="00D87EFD" w:rsidRPr="00637719" w:rsidTr="00142231">
        <w:tc>
          <w:tcPr>
            <w:tcW w:w="931" w:type="dxa"/>
            <w:vMerge/>
          </w:tcPr>
          <w:p w:rsidR="00D87EFD" w:rsidRPr="00E7233B" w:rsidRDefault="00D87EFD" w:rsidP="00D87EFD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D87EFD" w:rsidRPr="00E7233B" w:rsidRDefault="00A36DD7" w:rsidP="00D87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Собак</w:t>
            </w:r>
            <w:r w:rsidR="00D87EFD" w:rsidRPr="00E7233B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835" w:type="dxa"/>
          </w:tcPr>
          <w:p w:rsidR="00D87EFD" w:rsidRPr="00E7233B" w:rsidRDefault="00A36DD7" w:rsidP="00565E47">
            <w:pPr>
              <w:pStyle w:val="Default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&lt;1</w:t>
            </w:r>
            <w:r>
              <w:rPr>
                <w:sz w:val="22"/>
                <w:szCs w:val="22"/>
              </w:rPr>
              <w:t>4</w:t>
            </w:r>
            <w:r w:rsidRPr="00E7233B">
              <w:rPr>
                <w:sz w:val="22"/>
                <w:szCs w:val="22"/>
              </w:rPr>
              <w:t xml:space="preserve"> мкг/</w:t>
            </w:r>
            <w:proofErr w:type="spellStart"/>
            <w:r>
              <w:rPr>
                <w:sz w:val="22"/>
                <w:szCs w:val="22"/>
              </w:rPr>
              <w:t>д</w:t>
            </w:r>
            <w:r w:rsidRPr="00E7233B">
              <w:rPr>
                <w:sz w:val="22"/>
                <w:szCs w:val="22"/>
              </w:rPr>
              <w:t>л</w:t>
            </w:r>
            <w:proofErr w:type="spellEnd"/>
          </w:p>
        </w:tc>
        <w:tc>
          <w:tcPr>
            <w:tcW w:w="3963" w:type="dxa"/>
          </w:tcPr>
          <w:p w:rsidR="00D87EFD" w:rsidRPr="00E7233B" w:rsidRDefault="00A36DD7" w:rsidP="00565E47">
            <w:pPr>
              <w:pStyle w:val="Default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&lt;1</w:t>
            </w:r>
            <w:r>
              <w:rPr>
                <w:sz w:val="22"/>
                <w:szCs w:val="22"/>
              </w:rPr>
              <w:t>4</w:t>
            </w:r>
            <w:r w:rsidRPr="00E7233B">
              <w:rPr>
                <w:sz w:val="22"/>
                <w:szCs w:val="22"/>
              </w:rPr>
              <w:t xml:space="preserve"> мкг/</w:t>
            </w:r>
            <w:proofErr w:type="spellStart"/>
            <w:r>
              <w:rPr>
                <w:sz w:val="22"/>
                <w:szCs w:val="22"/>
              </w:rPr>
              <w:t>д</w:t>
            </w:r>
            <w:r w:rsidRPr="00E7233B">
              <w:rPr>
                <w:sz w:val="22"/>
                <w:szCs w:val="22"/>
              </w:rPr>
              <w:t>л</w:t>
            </w:r>
            <w:proofErr w:type="spellEnd"/>
          </w:p>
        </w:tc>
      </w:tr>
    </w:tbl>
    <w:p w:rsidR="005700DA" w:rsidRPr="00637719" w:rsidRDefault="008958B5" w:rsidP="006C1CCB">
      <w:pPr>
        <w:pStyle w:val="Default"/>
        <w:spacing w:before="240" w:after="12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10</w:t>
      </w:r>
      <w:r w:rsidR="00786899" w:rsidRPr="00EF3B34">
        <w:rPr>
          <w:b/>
          <w:bCs/>
          <w:sz w:val="32"/>
          <w:szCs w:val="32"/>
        </w:rPr>
        <w:t>.</w:t>
      </w:r>
      <w:r w:rsidR="005700DA" w:rsidRPr="00EF3B34">
        <w:rPr>
          <w:b/>
          <w:bCs/>
          <w:sz w:val="32"/>
          <w:szCs w:val="32"/>
        </w:rPr>
        <w:t xml:space="preserve"> </w:t>
      </w:r>
      <w:r w:rsidR="00AE343A" w:rsidRPr="00637719">
        <w:rPr>
          <w:b/>
          <w:bCs/>
          <w:sz w:val="32"/>
          <w:szCs w:val="32"/>
        </w:rPr>
        <w:t>Ограничения</w:t>
      </w:r>
    </w:p>
    <w:p w:rsidR="00786899" w:rsidRDefault="000F3CE3" w:rsidP="00EB6DC8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К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физиологически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обусловленным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мешающим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факторам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крови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относятся</w:t>
      </w:r>
      <w:r w:rsidRPr="000F3CE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гемолиз</w:t>
      </w:r>
      <w:r w:rsidR="00610BE1" w:rsidRPr="000F3CE3">
        <w:rPr>
          <w:sz w:val="23"/>
          <w:szCs w:val="23"/>
        </w:rPr>
        <w:t xml:space="preserve">, </w:t>
      </w:r>
      <w:proofErr w:type="spellStart"/>
      <w:r w:rsidR="00610BE1">
        <w:rPr>
          <w:sz w:val="23"/>
          <w:szCs w:val="23"/>
        </w:rPr>
        <w:t>иктеричность</w:t>
      </w:r>
      <w:proofErr w:type="spellEnd"/>
      <w:r w:rsidR="00610BE1" w:rsidRPr="000F3CE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</w:t>
      </w:r>
      <w:r w:rsidR="00610BE1" w:rsidRPr="000F3CE3">
        <w:rPr>
          <w:sz w:val="23"/>
          <w:szCs w:val="23"/>
        </w:rPr>
        <w:t xml:space="preserve"> </w:t>
      </w:r>
      <w:proofErr w:type="spellStart"/>
      <w:r w:rsidR="00610BE1">
        <w:rPr>
          <w:sz w:val="23"/>
          <w:szCs w:val="23"/>
        </w:rPr>
        <w:t>липемия</w:t>
      </w:r>
      <w:proofErr w:type="spellEnd"/>
      <w:r w:rsidR="00786899" w:rsidRPr="000F3CE3">
        <w:rPr>
          <w:sz w:val="23"/>
          <w:szCs w:val="23"/>
        </w:rPr>
        <w:t xml:space="preserve">. </w:t>
      </w:r>
      <w:r w:rsidR="00610BE1">
        <w:rPr>
          <w:sz w:val="23"/>
          <w:szCs w:val="23"/>
        </w:rPr>
        <w:t>Для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каждого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из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исследуемых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показателей</w:t>
      </w:r>
      <w:r w:rsidR="001A3113">
        <w:rPr>
          <w:sz w:val="23"/>
          <w:szCs w:val="23"/>
        </w:rPr>
        <w:t xml:space="preserve"> использовались сыворотки с известными концентрациями эндогенных веществ 2 уровней</w:t>
      </w:r>
      <w:r w:rsidR="00786899" w:rsidRPr="001A3113">
        <w:rPr>
          <w:sz w:val="23"/>
          <w:szCs w:val="23"/>
        </w:rPr>
        <w:t xml:space="preserve">. </w:t>
      </w:r>
      <w:r>
        <w:rPr>
          <w:sz w:val="23"/>
          <w:szCs w:val="23"/>
        </w:rPr>
        <w:t>Существенным</w:t>
      </w:r>
      <w:r w:rsidRPr="000F3CE3">
        <w:rPr>
          <w:sz w:val="23"/>
          <w:szCs w:val="23"/>
        </w:rPr>
        <w:t xml:space="preserve"> </w:t>
      </w:r>
      <w:r w:rsidR="001A3113">
        <w:rPr>
          <w:sz w:val="23"/>
          <w:szCs w:val="23"/>
        </w:rPr>
        <w:t xml:space="preserve">было </w:t>
      </w:r>
      <w:r>
        <w:rPr>
          <w:sz w:val="23"/>
          <w:szCs w:val="23"/>
        </w:rPr>
        <w:t>принято</w:t>
      </w:r>
      <w:r w:rsidRPr="000F3CE3">
        <w:rPr>
          <w:sz w:val="23"/>
          <w:szCs w:val="23"/>
        </w:rPr>
        <w:t xml:space="preserve"> </w:t>
      </w:r>
      <w:r w:rsidR="00142231">
        <w:rPr>
          <w:sz w:val="23"/>
          <w:szCs w:val="23"/>
        </w:rPr>
        <w:t>отклон</w:t>
      </w:r>
      <w:r>
        <w:rPr>
          <w:sz w:val="23"/>
          <w:szCs w:val="23"/>
        </w:rPr>
        <w:t>ение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результатов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теста</w:t>
      </w:r>
      <w:r w:rsidRPr="000F3CE3">
        <w:rPr>
          <w:sz w:val="23"/>
          <w:szCs w:val="23"/>
        </w:rPr>
        <w:t xml:space="preserve"> </w:t>
      </w:r>
      <w:r w:rsidR="00786899" w:rsidRPr="000F3CE3">
        <w:rPr>
          <w:sz w:val="23"/>
          <w:szCs w:val="23"/>
        </w:rPr>
        <w:t>&gt;20%.</w:t>
      </w:r>
      <w:r w:rsidRPr="000F3CE3">
        <w:rPr>
          <w:sz w:val="23"/>
          <w:szCs w:val="23"/>
        </w:rPr>
        <w:t xml:space="preserve">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15"/>
        <w:gridCol w:w="2336"/>
        <w:gridCol w:w="2336"/>
        <w:gridCol w:w="2337"/>
      </w:tblGrid>
      <w:tr w:rsidR="000139F3" w:rsidTr="00EB6DC8">
        <w:trPr>
          <w:trHeight w:val="262"/>
        </w:trPr>
        <w:tc>
          <w:tcPr>
            <w:tcW w:w="1915" w:type="dxa"/>
            <w:vMerge w:val="restart"/>
          </w:tcPr>
          <w:p w:rsidR="000139F3" w:rsidRPr="00E7233B" w:rsidRDefault="000139F3" w:rsidP="00EB6DC8">
            <w:pPr>
              <w:pStyle w:val="Default"/>
              <w:ind w:left="426"/>
              <w:jc w:val="center"/>
              <w:rPr>
                <w:sz w:val="22"/>
                <w:szCs w:val="22"/>
              </w:rPr>
            </w:pPr>
          </w:p>
          <w:p w:rsidR="000139F3" w:rsidRPr="00E7233B" w:rsidRDefault="000139F3" w:rsidP="00EB6DC8">
            <w:pPr>
              <w:pStyle w:val="Default"/>
              <w:ind w:left="426" w:hanging="115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Показатель</w:t>
            </w:r>
          </w:p>
        </w:tc>
        <w:tc>
          <w:tcPr>
            <w:tcW w:w="7009" w:type="dxa"/>
            <w:gridSpan w:val="3"/>
          </w:tcPr>
          <w:p w:rsidR="000139F3" w:rsidRPr="00E7233B" w:rsidRDefault="000139F3" w:rsidP="00EB6DC8">
            <w:pPr>
              <w:pStyle w:val="Default"/>
              <w:spacing w:after="120"/>
              <w:ind w:left="426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Концентрация веществ с мешающим влиянием менее 20%</w:t>
            </w:r>
          </w:p>
        </w:tc>
      </w:tr>
      <w:tr w:rsidR="000139F3" w:rsidTr="00EB6DC8">
        <w:tc>
          <w:tcPr>
            <w:tcW w:w="1915" w:type="dxa"/>
            <w:vMerge/>
          </w:tcPr>
          <w:p w:rsidR="000139F3" w:rsidRPr="00E7233B" w:rsidRDefault="000139F3" w:rsidP="00EB6DC8">
            <w:pPr>
              <w:pStyle w:val="Default"/>
              <w:spacing w:after="120"/>
              <w:ind w:left="426"/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0139F3" w:rsidRPr="00E7233B" w:rsidRDefault="000139F3" w:rsidP="00E7233B">
            <w:pPr>
              <w:pStyle w:val="Default"/>
              <w:ind w:left="426" w:hanging="460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Гемоглобин</w:t>
            </w:r>
          </w:p>
        </w:tc>
        <w:tc>
          <w:tcPr>
            <w:tcW w:w="2336" w:type="dxa"/>
          </w:tcPr>
          <w:p w:rsidR="000139F3" w:rsidRPr="00E7233B" w:rsidRDefault="000139F3" w:rsidP="00E7233B">
            <w:pPr>
              <w:pStyle w:val="Default"/>
              <w:ind w:left="426" w:hanging="532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Билирубин</w:t>
            </w:r>
          </w:p>
        </w:tc>
        <w:tc>
          <w:tcPr>
            <w:tcW w:w="2337" w:type="dxa"/>
          </w:tcPr>
          <w:p w:rsidR="000139F3" w:rsidRPr="00E7233B" w:rsidRDefault="000139F3" w:rsidP="00E7233B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proofErr w:type="spellStart"/>
            <w:r w:rsidRPr="00E7233B">
              <w:rPr>
                <w:sz w:val="22"/>
                <w:szCs w:val="22"/>
              </w:rPr>
              <w:t>Интралипиды</w:t>
            </w:r>
            <w:proofErr w:type="spellEnd"/>
          </w:p>
        </w:tc>
      </w:tr>
      <w:tr w:rsidR="000139F3" w:rsidTr="00EB6DC8">
        <w:tc>
          <w:tcPr>
            <w:tcW w:w="1915" w:type="dxa"/>
          </w:tcPr>
          <w:p w:rsidR="000139F3" w:rsidRPr="00E7233B" w:rsidRDefault="00A36DD7" w:rsidP="00EB6DC8">
            <w:pPr>
              <w:pStyle w:val="Default"/>
              <w:ind w:left="426"/>
              <w:rPr>
                <w:sz w:val="22"/>
                <w:szCs w:val="22"/>
              </w:rPr>
            </w:pPr>
            <w:r w:rsidRPr="00A36DD7">
              <w:rPr>
                <w:sz w:val="22"/>
                <w:szCs w:val="22"/>
                <w:lang w:val="en-US"/>
              </w:rPr>
              <w:t>SDMA</w:t>
            </w:r>
          </w:p>
        </w:tc>
        <w:tc>
          <w:tcPr>
            <w:tcW w:w="2336" w:type="dxa"/>
          </w:tcPr>
          <w:p w:rsidR="000139F3" w:rsidRPr="00E7233B" w:rsidRDefault="00C835B6" w:rsidP="00EB6DC8">
            <w:pPr>
              <w:pStyle w:val="Default"/>
              <w:ind w:left="426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6</w:t>
            </w:r>
            <w:r w:rsidR="000139F3" w:rsidRPr="00E7233B">
              <w:rPr>
                <w:sz w:val="22"/>
                <w:szCs w:val="22"/>
              </w:rPr>
              <w:t>00 мг/</w:t>
            </w:r>
            <w:proofErr w:type="spellStart"/>
            <w:r w:rsidR="000139F3" w:rsidRPr="00E7233B">
              <w:rPr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336" w:type="dxa"/>
          </w:tcPr>
          <w:p w:rsidR="000139F3" w:rsidRPr="00E7233B" w:rsidRDefault="00A36DD7" w:rsidP="00EB6DC8">
            <w:pPr>
              <w:pStyle w:val="Default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0139F3" w:rsidRPr="00E7233B">
              <w:rPr>
                <w:sz w:val="22"/>
                <w:szCs w:val="22"/>
              </w:rPr>
              <w:t xml:space="preserve"> мг/</w:t>
            </w:r>
            <w:proofErr w:type="spellStart"/>
            <w:r w:rsidR="000139F3" w:rsidRPr="00E7233B">
              <w:rPr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337" w:type="dxa"/>
          </w:tcPr>
          <w:p w:rsidR="000139F3" w:rsidRPr="00E7233B" w:rsidRDefault="00A36DD7" w:rsidP="00E7233B">
            <w:pPr>
              <w:pStyle w:val="Default"/>
              <w:ind w:left="426" w:hanging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</w:t>
            </w:r>
            <w:r w:rsidR="00C835B6" w:rsidRPr="00E7233B">
              <w:rPr>
                <w:sz w:val="22"/>
                <w:szCs w:val="22"/>
              </w:rPr>
              <w:t xml:space="preserve"> мг/</w:t>
            </w:r>
            <w:proofErr w:type="spellStart"/>
            <w:r w:rsidR="00C835B6" w:rsidRPr="00E7233B">
              <w:rPr>
                <w:sz w:val="22"/>
                <w:szCs w:val="22"/>
              </w:rPr>
              <w:t>дл</w:t>
            </w:r>
            <w:proofErr w:type="spellEnd"/>
            <w:r w:rsidR="00C835B6" w:rsidRPr="00E723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C835B6" w:rsidRPr="00E7233B">
              <w:rPr>
                <w:sz w:val="22"/>
                <w:szCs w:val="22"/>
              </w:rPr>
              <w:t>ТГ)</w:t>
            </w:r>
          </w:p>
        </w:tc>
      </w:tr>
    </w:tbl>
    <w:p w:rsidR="005700DA" w:rsidRPr="004522A5" w:rsidRDefault="00A776C9" w:rsidP="006C1CCB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8958B5">
        <w:rPr>
          <w:b/>
          <w:bCs/>
          <w:sz w:val="32"/>
          <w:szCs w:val="32"/>
        </w:rPr>
        <w:t>1</w:t>
      </w:r>
      <w:r w:rsidR="005700DA" w:rsidRPr="004522A5">
        <w:rPr>
          <w:b/>
          <w:bCs/>
          <w:sz w:val="32"/>
          <w:szCs w:val="32"/>
        </w:rPr>
        <w:t xml:space="preserve">. </w:t>
      </w:r>
      <w:r w:rsidR="001A3113">
        <w:rPr>
          <w:b/>
          <w:bCs/>
          <w:sz w:val="32"/>
          <w:szCs w:val="32"/>
        </w:rPr>
        <w:t>Характеристики</w:t>
      </w:r>
      <w:r w:rsidR="00571793">
        <w:rPr>
          <w:b/>
          <w:bCs/>
          <w:sz w:val="32"/>
          <w:szCs w:val="32"/>
        </w:rPr>
        <w:t xml:space="preserve"> аналитической эффективности</w:t>
      </w:r>
    </w:p>
    <w:p w:rsidR="00261357" w:rsidRPr="00D87EFD" w:rsidRDefault="001A3113" w:rsidP="000F3CE3">
      <w:pPr>
        <w:pStyle w:val="Default"/>
        <w:spacing w:before="120"/>
        <w:rPr>
          <w:b/>
          <w:i/>
          <w:sz w:val="23"/>
          <w:szCs w:val="23"/>
        </w:rPr>
      </w:pPr>
      <w:r w:rsidRPr="00D87EFD">
        <w:rPr>
          <w:b/>
          <w:i/>
          <w:sz w:val="28"/>
          <w:szCs w:val="28"/>
        </w:rPr>
        <w:t>Динамический диапазон</w:t>
      </w:r>
      <w:r w:rsidR="005700DA" w:rsidRPr="00D87EFD">
        <w:rPr>
          <w:b/>
          <w:i/>
          <w:sz w:val="28"/>
          <w:szCs w:val="28"/>
        </w:rPr>
        <w:t>:</w:t>
      </w:r>
      <w:r w:rsidR="00AD67A0" w:rsidRPr="00D87EFD">
        <w:rPr>
          <w:b/>
          <w:i/>
          <w:sz w:val="23"/>
          <w:szCs w:val="23"/>
        </w:rPr>
        <w:t xml:space="preserve"> </w:t>
      </w:r>
    </w:p>
    <w:p w:rsidR="00261357" w:rsidRDefault="001A3113" w:rsidP="00E7233B">
      <w:pPr>
        <w:pStyle w:val="Default"/>
        <w:spacing w:before="120" w:after="120"/>
        <w:ind w:left="426"/>
        <w:rPr>
          <w:sz w:val="23"/>
          <w:szCs w:val="23"/>
        </w:rPr>
      </w:pPr>
      <w:r w:rsidRPr="001A3113">
        <w:rPr>
          <w:sz w:val="23"/>
          <w:szCs w:val="23"/>
        </w:rPr>
        <w:t>Диапазон</w:t>
      </w:r>
      <w:r w:rsidR="00261357">
        <w:rPr>
          <w:sz w:val="23"/>
          <w:szCs w:val="23"/>
        </w:rPr>
        <w:t>ы</w:t>
      </w:r>
      <w:r w:rsidRPr="001A3113">
        <w:rPr>
          <w:sz w:val="23"/>
          <w:szCs w:val="23"/>
        </w:rPr>
        <w:t xml:space="preserve"> изме</w:t>
      </w:r>
      <w:r w:rsidR="00565E47">
        <w:rPr>
          <w:sz w:val="23"/>
          <w:szCs w:val="23"/>
        </w:rPr>
        <w:t>р</w:t>
      </w:r>
      <w:r w:rsidRPr="001A3113">
        <w:rPr>
          <w:sz w:val="23"/>
          <w:szCs w:val="23"/>
        </w:rPr>
        <w:t xml:space="preserve">ения </w:t>
      </w:r>
      <w:r>
        <w:rPr>
          <w:sz w:val="23"/>
          <w:szCs w:val="23"/>
        </w:rPr>
        <w:t xml:space="preserve">для </w:t>
      </w:r>
      <w:r w:rsidR="00A36DD7" w:rsidRPr="004D0D87">
        <w:rPr>
          <w:lang w:val="en-US"/>
        </w:rPr>
        <w:t>S</w:t>
      </w:r>
      <w:r w:rsidR="00A36DD7">
        <w:rPr>
          <w:lang w:val="en-US"/>
        </w:rPr>
        <w:t>DM</w:t>
      </w:r>
      <w:r w:rsidR="00A36DD7" w:rsidRPr="004D0D87">
        <w:rPr>
          <w:lang w:val="en-US"/>
        </w:rPr>
        <w:t>A</w:t>
      </w:r>
      <w:r>
        <w:rPr>
          <w:sz w:val="23"/>
          <w:szCs w:val="23"/>
        </w:rPr>
        <w:t xml:space="preserve"> </w:t>
      </w:r>
      <w:r w:rsidR="00261357">
        <w:rPr>
          <w:sz w:val="23"/>
          <w:szCs w:val="23"/>
        </w:rPr>
        <w:t>приведены</w:t>
      </w:r>
      <w:r>
        <w:rPr>
          <w:sz w:val="23"/>
          <w:szCs w:val="23"/>
        </w:rPr>
        <w:t xml:space="preserve"> ниже</w:t>
      </w:r>
      <w:r w:rsidR="00261357">
        <w:rPr>
          <w:sz w:val="23"/>
          <w:szCs w:val="23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418"/>
        <w:gridCol w:w="1701"/>
        <w:gridCol w:w="1559"/>
        <w:gridCol w:w="2126"/>
      </w:tblGrid>
      <w:tr w:rsidR="005700DA" w:rsidRPr="004522A5" w:rsidTr="00E7233B">
        <w:trPr>
          <w:trHeight w:val="100"/>
        </w:trPr>
        <w:tc>
          <w:tcPr>
            <w:tcW w:w="1984" w:type="dxa"/>
          </w:tcPr>
          <w:p w:rsidR="005700DA" w:rsidRPr="00E7233B" w:rsidRDefault="001A3113" w:rsidP="00A36DD7">
            <w:pPr>
              <w:pStyle w:val="Default"/>
              <w:ind w:left="426" w:hanging="426"/>
              <w:jc w:val="center"/>
              <w:rPr>
                <w:sz w:val="22"/>
                <w:szCs w:val="22"/>
                <w:lang w:val="en-US"/>
              </w:rPr>
            </w:pPr>
            <w:r w:rsidRPr="00E7233B">
              <w:rPr>
                <w:sz w:val="22"/>
                <w:szCs w:val="22"/>
              </w:rPr>
              <w:t>Показатель</w:t>
            </w:r>
          </w:p>
        </w:tc>
        <w:tc>
          <w:tcPr>
            <w:tcW w:w="3119" w:type="dxa"/>
            <w:gridSpan w:val="2"/>
          </w:tcPr>
          <w:p w:rsidR="005700DA" w:rsidRPr="00E7233B" w:rsidRDefault="001A3113" w:rsidP="00565E47">
            <w:pPr>
              <w:pStyle w:val="Default"/>
              <w:ind w:left="426" w:hanging="426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Диапазон изме</w:t>
            </w:r>
            <w:r w:rsidR="00565E47">
              <w:rPr>
                <w:sz w:val="22"/>
                <w:szCs w:val="22"/>
              </w:rPr>
              <w:t>р</w:t>
            </w:r>
            <w:r w:rsidRPr="00E7233B">
              <w:rPr>
                <w:sz w:val="22"/>
                <w:szCs w:val="22"/>
              </w:rPr>
              <w:t>ения</w:t>
            </w:r>
          </w:p>
        </w:tc>
        <w:tc>
          <w:tcPr>
            <w:tcW w:w="3685" w:type="dxa"/>
            <w:gridSpan w:val="2"/>
          </w:tcPr>
          <w:p w:rsidR="005700DA" w:rsidRPr="00E7233B" w:rsidRDefault="001A3113" w:rsidP="00565E47">
            <w:pPr>
              <w:pStyle w:val="Default"/>
              <w:ind w:left="426" w:hanging="426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Диапазон изме</w:t>
            </w:r>
            <w:r w:rsidR="00565E47">
              <w:rPr>
                <w:sz w:val="22"/>
                <w:szCs w:val="22"/>
              </w:rPr>
              <w:t>р</w:t>
            </w:r>
            <w:r w:rsidRPr="00E7233B">
              <w:rPr>
                <w:sz w:val="22"/>
                <w:szCs w:val="22"/>
              </w:rPr>
              <w:t xml:space="preserve">ения </w:t>
            </w:r>
            <w:r w:rsidR="005700DA" w:rsidRPr="00E7233B">
              <w:rPr>
                <w:sz w:val="22"/>
                <w:szCs w:val="22"/>
              </w:rPr>
              <w:t>(</w:t>
            </w:r>
            <w:r w:rsidRPr="00E7233B">
              <w:rPr>
                <w:sz w:val="22"/>
                <w:szCs w:val="22"/>
              </w:rPr>
              <w:t xml:space="preserve">ед. </w:t>
            </w:r>
            <w:r w:rsidR="005700DA" w:rsidRPr="00E7233B">
              <w:rPr>
                <w:sz w:val="22"/>
                <w:szCs w:val="22"/>
              </w:rPr>
              <w:t>SI)</w:t>
            </w:r>
          </w:p>
        </w:tc>
      </w:tr>
      <w:tr w:rsidR="00921E5F" w:rsidRPr="004522A5" w:rsidTr="00E7233B">
        <w:trPr>
          <w:trHeight w:val="101"/>
        </w:trPr>
        <w:tc>
          <w:tcPr>
            <w:tcW w:w="1984" w:type="dxa"/>
          </w:tcPr>
          <w:p w:rsidR="00921E5F" w:rsidRPr="00E7233B" w:rsidRDefault="00921E5F" w:rsidP="00921E5F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r w:rsidRPr="004D0D87">
              <w:rPr>
                <w:lang w:val="en-US"/>
              </w:rPr>
              <w:t>S</w:t>
            </w:r>
            <w:r>
              <w:rPr>
                <w:lang w:val="en-US"/>
              </w:rPr>
              <w:t>DM</w:t>
            </w:r>
            <w:r w:rsidRPr="004D0D87">
              <w:rPr>
                <w:lang w:val="en-US"/>
              </w:rPr>
              <w:t>A</w:t>
            </w:r>
          </w:p>
        </w:tc>
        <w:tc>
          <w:tcPr>
            <w:tcW w:w="1418" w:type="dxa"/>
          </w:tcPr>
          <w:p w:rsidR="00921E5F" w:rsidRPr="00E7233B" w:rsidRDefault="00921E5F" w:rsidP="00921E5F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723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E7233B">
              <w:rPr>
                <w:sz w:val="22"/>
                <w:szCs w:val="22"/>
              </w:rPr>
              <w:t xml:space="preserve">  - 1</w:t>
            </w:r>
            <w:r>
              <w:rPr>
                <w:sz w:val="22"/>
                <w:szCs w:val="22"/>
              </w:rPr>
              <w:t>0</w:t>
            </w:r>
            <w:r w:rsidRPr="00E7233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21E5F" w:rsidRPr="00E7233B" w:rsidRDefault="00921E5F" w:rsidP="00921E5F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</w:t>
            </w:r>
            <w:r w:rsidRPr="00E7233B">
              <w:rPr>
                <w:sz w:val="22"/>
                <w:szCs w:val="22"/>
              </w:rPr>
              <w:t>г/</w:t>
            </w:r>
            <w:proofErr w:type="spellStart"/>
            <w:r>
              <w:rPr>
                <w:sz w:val="22"/>
                <w:szCs w:val="22"/>
              </w:rPr>
              <w:t>д</w:t>
            </w:r>
            <w:r w:rsidRPr="00E7233B">
              <w:rPr>
                <w:sz w:val="22"/>
                <w:szCs w:val="22"/>
              </w:rPr>
              <w:t>л</w:t>
            </w:r>
            <w:proofErr w:type="spellEnd"/>
          </w:p>
        </w:tc>
        <w:tc>
          <w:tcPr>
            <w:tcW w:w="1559" w:type="dxa"/>
          </w:tcPr>
          <w:p w:rsidR="00921E5F" w:rsidRPr="00E7233B" w:rsidRDefault="00921E5F" w:rsidP="00921E5F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723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E7233B">
              <w:rPr>
                <w:sz w:val="22"/>
                <w:szCs w:val="22"/>
              </w:rPr>
              <w:t xml:space="preserve">  - 1</w:t>
            </w:r>
            <w:r>
              <w:rPr>
                <w:sz w:val="22"/>
                <w:szCs w:val="22"/>
              </w:rPr>
              <w:t>0</w:t>
            </w:r>
            <w:r w:rsidRPr="00E7233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921E5F" w:rsidRPr="00E7233B" w:rsidRDefault="00921E5F" w:rsidP="00921E5F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</w:t>
            </w:r>
            <w:r w:rsidRPr="00E7233B">
              <w:rPr>
                <w:sz w:val="22"/>
                <w:szCs w:val="22"/>
              </w:rPr>
              <w:t>г/</w:t>
            </w:r>
            <w:proofErr w:type="spellStart"/>
            <w:r>
              <w:rPr>
                <w:sz w:val="22"/>
                <w:szCs w:val="22"/>
              </w:rPr>
              <w:t>д</w:t>
            </w:r>
            <w:r w:rsidRPr="00E7233B">
              <w:rPr>
                <w:sz w:val="22"/>
                <w:szCs w:val="22"/>
              </w:rPr>
              <w:t>л</w:t>
            </w:r>
            <w:proofErr w:type="spellEnd"/>
          </w:p>
        </w:tc>
      </w:tr>
    </w:tbl>
    <w:p w:rsidR="00072575" w:rsidRPr="00D87EFD" w:rsidRDefault="00F70371" w:rsidP="00723AD2">
      <w:pPr>
        <w:pStyle w:val="Default"/>
        <w:spacing w:before="240" w:after="120"/>
        <w:rPr>
          <w:b/>
          <w:sz w:val="28"/>
          <w:szCs w:val="28"/>
          <w:lang w:val="en-US"/>
        </w:rPr>
      </w:pPr>
      <w:r w:rsidRPr="00D87EFD">
        <w:rPr>
          <w:b/>
          <w:i/>
          <w:sz w:val="28"/>
          <w:szCs w:val="28"/>
        </w:rPr>
        <w:t>Погрешность измерения</w:t>
      </w:r>
      <w:r w:rsidR="00072575" w:rsidRPr="00D87EFD">
        <w:rPr>
          <w:b/>
          <w:sz w:val="28"/>
          <w:szCs w:val="28"/>
          <w:lang w:val="en-US"/>
        </w:rPr>
        <w:t>:</w:t>
      </w:r>
    </w:p>
    <w:p w:rsidR="0018471E" w:rsidRDefault="00776E9A" w:rsidP="00921E5F">
      <w:pPr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качестве метода </w:t>
      </w:r>
      <w:r w:rsidR="00F70371">
        <w:rPr>
          <w:rFonts w:ascii="Times New Roman" w:hAnsi="Times New Roman" w:cs="Times New Roman"/>
          <w:sz w:val="23"/>
          <w:szCs w:val="23"/>
        </w:rPr>
        <w:t xml:space="preserve">оценки точности </w:t>
      </w:r>
      <w:r>
        <w:rPr>
          <w:rFonts w:ascii="Times New Roman" w:hAnsi="Times New Roman" w:cs="Times New Roman"/>
          <w:sz w:val="23"/>
          <w:szCs w:val="23"/>
        </w:rPr>
        <w:t>исследования</w:t>
      </w:r>
      <w:r w:rsidRPr="00BF5D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использ</w:t>
      </w:r>
      <w:r w:rsidR="00F70371">
        <w:rPr>
          <w:rFonts w:ascii="Times New Roman" w:hAnsi="Times New Roman" w:cs="Times New Roman"/>
          <w:sz w:val="23"/>
          <w:szCs w:val="23"/>
        </w:rPr>
        <w:t xml:space="preserve">овалось измерение контрольных растворов с высокой и низкой концентрацией </w:t>
      </w:r>
      <w:proofErr w:type="spellStart"/>
      <w:r w:rsidR="00F70371">
        <w:rPr>
          <w:rFonts w:ascii="Times New Roman" w:hAnsi="Times New Roman" w:cs="Times New Roman"/>
          <w:sz w:val="23"/>
          <w:szCs w:val="23"/>
        </w:rPr>
        <w:t>аналитов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072575">
        <w:rPr>
          <w:rFonts w:ascii="Times New Roman" w:hAnsi="Times New Roman" w:cs="Times New Roman"/>
          <w:sz w:val="23"/>
          <w:szCs w:val="23"/>
        </w:rPr>
        <w:t>Тесты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выполн</w:t>
      </w:r>
      <w:r w:rsidR="00715566">
        <w:rPr>
          <w:rFonts w:ascii="Times New Roman" w:hAnsi="Times New Roman" w:cs="Times New Roman"/>
          <w:sz w:val="23"/>
          <w:szCs w:val="23"/>
        </w:rPr>
        <w:t>ены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AF2A2A">
        <w:rPr>
          <w:rFonts w:ascii="Times New Roman" w:hAnsi="Times New Roman" w:cs="Times New Roman"/>
          <w:sz w:val="23"/>
          <w:szCs w:val="23"/>
        </w:rPr>
        <w:t>по 3 повторения в день в течение 5 дней. Результаты показаны в таблице ниже</w:t>
      </w:r>
      <w:r w:rsidR="00D87EFD">
        <w:rPr>
          <w:rFonts w:ascii="Times New Roman" w:hAnsi="Times New Roman" w:cs="Times New Roman"/>
          <w:sz w:val="23"/>
          <w:szCs w:val="23"/>
        </w:rPr>
        <w:t>:</w:t>
      </w:r>
    </w:p>
    <w:p w:rsidR="00D87EFD" w:rsidRPr="00072575" w:rsidRDefault="00D87EFD" w:rsidP="00F4143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7"/>
        <w:gridCol w:w="2020"/>
        <w:gridCol w:w="2020"/>
      </w:tblGrid>
      <w:tr w:rsidR="00B6404D" w:rsidRPr="00AF2A2A" w:rsidTr="001A077E">
        <w:trPr>
          <w:trHeight w:val="252"/>
          <w:jc w:val="center"/>
        </w:trPr>
        <w:tc>
          <w:tcPr>
            <w:tcW w:w="2167" w:type="dxa"/>
          </w:tcPr>
          <w:p w:rsidR="00B6404D" w:rsidRPr="00E7233B" w:rsidRDefault="00B6404D">
            <w:pPr>
              <w:rPr>
                <w:rFonts w:ascii="Times New Roman" w:hAnsi="Times New Roman" w:cs="Times New Roman"/>
              </w:rPr>
            </w:pPr>
            <w:proofErr w:type="spellStart"/>
            <w:r w:rsidRPr="00E7233B">
              <w:rPr>
                <w:rFonts w:ascii="Times New Roman" w:hAnsi="Times New Roman" w:cs="Times New Roman"/>
                <w:lang w:val="en-US"/>
              </w:rPr>
              <w:t>Показатель</w:t>
            </w:r>
            <w:proofErr w:type="spellEnd"/>
          </w:p>
        </w:tc>
        <w:tc>
          <w:tcPr>
            <w:tcW w:w="4040" w:type="dxa"/>
            <w:gridSpan w:val="2"/>
          </w:tcPr>
          <w:p w:rsidR="00B6404D" w:rsidRPr="00921E5F" w:rsidRDefault="00921E5F" w:rsidP="00AF2A2A">
            <w:pPr>
              <w:jc w:val="center"/>
              <w:rPr>
                <w:rFonts w:ascii="Times New Roman" w:hAnsi="Times New Roman" w:cs="Times New Roman"/>
              </w:rPr>
            </w:pPr>
            <w:r w:rsidRPr="00921E5F">
              <w:rPr>
                <w:rFonts w:ascii="Times New Roman" w:hAnsi="Times New Roman" w:cs="Times New Roman"/>
                <w:lang w:val="en-US"/>
              </w:rPr>
              <w:t>SDMA</w:t>
            </w:r>
          </w:p>
        </w:tc>
      </w:tr>
      <w:tr w:rsidR="00B6404D" w:rsidRPr="00AF2A2A" w:rsidTr="001A077E">
        <w:trPr>
          <w:trHeight w:val="252"/>
          <w:jc w:val="center"/>
        </w:trPr>
        <w:tc>
          <w:tcPr>
            <w:tcW w:w="2167" w:type="dxa"/>
          </w:tcPr>
          <w:p w:rsidR="00B6404D" w:rsidRPr="00E7233B" w:rsidRDefault="00B6404D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020" w:type="dxa"/>
          </w:tcPr>
          <w:p w:rsidR="00B6404D" w:rsidRPr="00E7233B" w:rsidRDefault="00F70371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Контроль низкий</w:t>
            </w:r>
          </w:p>
        </w:tc>
        <w:tc>
          <w:tcPr>
            <w:tcW w:w="2020" w:type="dxa"/>
          </w:tcPr>
          <w:p w:rsidR="00B6404D" w:rsidRPr="00E7233B" w:rsidRDefault="00F70371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Контроль высокий</w:t>
            </w:r>
          </w:p>
        </w:tc>
      </w:tr>
      <w:tr w:rsidR="00B6404D" w:rsidRPr="00AF2A2A" w:rsidTr="001A077E">
        <w:trPr>
          <w:trHeight w:val="252"/>
          <w:jc w:val="center"/>
        </w:trPr>
        <w:tc>
          <w:tcPr>
            <w:tcW w:w="2167" w:type="dxa"/>
          </w:tcPr>
          <w:p w:rsidR="00B6404D" w:rsidRPr="00E7233B" w:rsidRDefault="00B6404D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2020" w:type="dxa"/>
          </w:tcPr>
          <w:p w:rsidR="00B6404D" w:rsidRPr="00E7233B" w:rsidRDefault="00F70371" w:rsidP="00921E5F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мкг/</w:t>
            </w:r>
            <w:proofErr w:type="spellStart"/>
            <w:r w:rsidR="00921E5F">
              <w:rPr>
                <w:rFonts w:ascii="Times New Roman" w:hAnsi="Times New Roman" w:cs="Times New Roman"/>
              </w:rPr>
              <w:t>д</w:t>
            </w:r>
            <w:r w:rsidRPr="00E7233B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2020" w:type="dxa"/>
          </w:tcPr>
          <w:p w:rsidR="00B6404D" w:rsidRPr="00E7233B" w:rsidRDefault="00F70371" w:rsidP="00921E5F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мкг/</w:t>
            </w:r>
            <w:proofErr w:type="spellStart"/>
            <w:r w:rsidR="00921E5F">
              <w:rPr>
                <w:rFonts w:ascii="Times New Roman" w:hAnsi="Times New Roman" w:cs="Times New Roman"/>
              </w:rPr>
              <w:t>д</w:t>
            </w:r>
            <w:r w:rsidRPr="00E7233B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</w:tr>
      <w:tr w:rsidR="00B6404D" w:rsidRPr="00AF2A2A" w:rsidTr="001A077E">
        <w:trPr>
          <w:trHeight w:val="252"/>
          <w:jc w:val="center"/>
        </w:trPr>
        <w:tc>
          <w:tcPr>
            <w:tcW w:w="2167" w:type="dxa"/>
          </w:tcPr>
          <w:p w:rsidR="00B6404D" w:rsidRPr="00E7233B" w:rsidRDefault="00B6404D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Среднее значения</w:t>
            </w:r>
          </w:p>
        </w:tc>
        <w:tc>
          <w:tcPr>
            <w:tcW w:w="2020" w:type="dxa"/>
          </w:tcPr>
          <w:p w:rsidR="00B6404D" w:rsidRPr="00E7233B" w:rsidRDefault="0092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2020" w:type="dxa"/>
          </w:tcPr>
          <w:p w:rsidR="00B6404D" w:rsidRPr="00E7233B" w:rsidRDefault="0092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</w:tr>
      <w:tr w:rsidR="00B6404D" w:rsidRPr="00AF2A2A" w:rsidTr="001A077E">
        <w:trPr>
          <w:trHeight w:val="252"/>
          <w:jc w:val="center"/>
        </w:trPr>
        <w:tc>
          <w:tcPr>
            <w:tcW w:w="2167" w:type="dxa"/>
          </w:tcPr>
          <w:p w:rsidR="00B6404D" w:rsidRPr="00E7233B" w:rsidRDefault="00F70371" w:rsidP="00E7233B">
            <w:pPr>
              <w:rPr>
                <w:rFonts w:ascii="Times New Roman" w:hAnsi="Times New Roman" w:cs="Times New Roman"/>
              </w:rPr>
            </w:pPr>
            <w:proofErr w:type="spellStart"/>
            <w:r w:rsidRPr="00E7233B">
              <w:rPr>
                <w:rFonts w:ascii="Times New Roman" w:hAnsi="Times New Roman" w:cs="Times New Roman"/>
              </w:rPr>
              <w:t>Станд</w:t>
            </w:r>
            <w:proofErr w:type="spellEnd"/>
            <w:r w:rsidRPr="00E7233B">
              <w:rPr>
                <w:rFonts w:ascii="Times New Roman" w:hAnsi="Times New Roman" w:cs="Times New Roman"/>
              </w:rPr>
              <w:t xml:space="preserve">. </w:t>
            </w:r>
            <w:r w:rsidR="00E7233B">
              <w:rPr>
                <w:rFonts w:ascii="Times New Roman" w:hAnsi="Times New Roman" w:cs="Times New Roman"/>
              </w:rPr>
              <w:t>о</w:t>
            </w:r>
            <w:r w:rsidRPr="00E7233B">
              <w:rPr>
                <w:rFonts w:ascii="Times New Roman" w:hAnsi="Times New Roman" w:cs="Times New Roman"/>
              </w:rPr>
              <w:t>ткл</w:t>
            </w:r>
            <w:r w:rsidR="00E7233B">
              <w:rPr>
                <w:rFonts w:ascii="Times New Roman" w:hAnsi="Times New Roman" w:cs="Times New Roman"/>
              </w:rPr>
              <w:t>онение</w:t>
            </w:r>
          </w:p>
        </w:tc>
        <w:tc>
          <w:tcPr>
            <w:tcW w:w="2020" w:type="dxa"/>
          </w:tcPr>
          <w:p w:rsidR="00B6404D" w:rsidRPr="00E7233B" w:rsidRDefault="00F70371" w:rsidP="00921E5F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1</w:t>
            </w:r>
            <w:r w:rsidR="00E7233B" w:rsidRPr="00E7233B">
              <w:rPr>
                <w:rFonts w:ascii="Times New Roman" w:hAnsi="Times New Roman" w:cs="Times New Roman"/>
              </w:rPr>
              <w:t>,</w:t>
            </w:r>
            <w:r w:rsidR="00921E5F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020" w:type="dxa"/>
          </w:tcPr>
          <w:p w:rsidR="00B6404D" w:rsidRPr="00E7233B" w:rsidRDefault="00921E5F" w:rsidP="00E7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8,285</w:t>
            </w:r>
          </w:p>
        </w:tc>
      </w:tr>
      <w:tr w:rsidR="00B6404D" w:rsidRPr="00AF2A2A" w:rsidTr="001A077E">
        <w:trPr>
          <w:trHeight w:val="252"/>
          <w:jc w:val="center"/>
        </w:trPr>
        <w:tc>
          <w:tcPr>
            <w:tcW w:w="2167" w:type="dxa"/>
          </w:tcPr>
          <w:p w:rsidR="00B6404D" w:rsidRPr="00E7233B" w:rsidRDefault="00F70371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%</w:t>
            </w:r>
            <w:r w:rsidRPr="00E7233B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2020" w:type="dxa"/>
          </w:tcPr>
          <w:p w:rsidR="00B6404D" w:rsidRPr="00E7233B" w:rsidRDefault="00921E5F" w:rsidP="00E7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2020" w:type="dxa"/>
          </w:tcPr>
          <w:p w:rsidR="00B6404D" w:rsidRPr="00E7233B" w:rsidRDefault="0092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</w:tr>
    </w:tbl>
    <w:p w:rsidR="00921E5F" w:rsidRDefault="00921E5F" w:rsidP="00921E5F">
      <w:pPr>
        <w:rPr>
          <w:rFonts w:ascii="Times New Roman" w:hAnsi="Times New Roman" w:cs="Times New Roman"/>
        </w:rPr>
      </w:pPr>
    </w:p>
    <w:p w:rsidR="00921E5F" w:rsidRPr="00666C34" w:rsidRDefault="00921E5F" w:rsidP="00921E5F">
      <w:pPr>
        <w:jc w:val="both"/>
        <w:rPr>
          <w:rFonts w:ascii="Times New Roman" w:hAnsi="Times New Roman" w:cs="Times New Roman"/>
        </w:rPr>
      </w:pPr>
      <w:r w:rsidRPr="00666C34">
        <w:rPr>
          <w:rFonts w:ascii="Times New Roman" w:hAnsi="Times New Roman" w:cs="Times New Roman"/>
        </w:rPr>
        <w:t xml:space="preserve">Сравнение метода производилось с анализатором </w:t>
      </w:r>
      <w:proofErr w:type="spellStart"/>
      <w:r w:rsidRPr="00666C34">
        <w:rPr>
          <w:rFonts w:ascii="Times New Roman" w:hAnsi="Times New Roman" w:cs="Times New Roman"/>
          <w:lang w:val="en-US"/>
        </w:rPr>
        <w:t>EuroLyser</w:t>
      </w:r>
      <w:proofErr w:type="spellEnd"/>
      <w:r w:rsidRPr="00666C34">
        <w:rPr>
          <w:rFonts w:ascii="Times New Roman" w:hAnsi="Times New Roman" w:cs="Times New Roman"/>
        </w:rPr>
        <w:t xml:space="preserve"> </w:t>
      </w:r>
      <w:r w:rsidRPr="00666C34">
        <w:rPr>
          <w:rFonts w:ascii="Times New Roman" w:hAnsi="Times New Roman" w:cs="Times New Roman"/>
          <w:lang w:val="en-US"/>
        </w:rPr>
        <w:t>solo</w:t>
      </w:r>
      <w:r w:rsidRPr="00666C34">
        <w:rPr>
          <w:rFonts w:ascii="Times New Roman" w:hAnsi="Times New Roman" w:cs="Times New Roman"/>
        </w:rPr>
        <w:t xml:space="preserve">. Сравнение различных аналитических систем возможно путем статистического анализа. Всего исследовалось </w:t>
      </w:r>
      <w:r>
        <w:rPr>
          <w:rFonts w:ascii="Times New Roman" w:hAnsi="Times New Roman" w:cs="Times New Roman"/>
        </w:rPr>
        <w:t>25</w:t>
      </w:r>
      <w:r w:rsidRPr="00666C34">
        <w:rPr>
          <w:rFonts w:ascii="Times New Roman" w:hAnsi="Times New Roman" w:cs="Times New Roman"/>
        </w:rPr>
        <w:t xml:space="preserve"> проб плазмы собак</w:t>
      </w:r>
      <w:r>
        <w:rPr>
          <w:rFonts w:ascii="Times New Roman" w:hAnsi="Times New Roman" w:cs="Times New Roman"/>
        </w:rPr>
        <w:t>и кошек</w:t>
      </w:r>
      <w:r w:rsidRPr="00666C34">
        <w:rPr>
          <w:rFonts w:ascii="Times New Roman" w:hAnsi="Times New Roman" w:cs="Times New Roman"/>
        </w:rPr>
        <w:t xml:space="preserve"> (</w:t>
      </w:r>
      <w:r w:rsidRPr="00666C34">
        <w:rPr>
          <w:rFonts w:ascii="Times New Roman" w:hAnsi="Times New Roman" w:cs="Times New Roman"/>
          <w:lang w:val="en-US"/>
        </w:rPr>
        <w:t>N</w:t>
      </w:r>
      <w:r w:rsidRPr="00666C3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25</w:t>
      </w:r>
      <w:r w:rsidRPr="00666C34">
        <w:rPr>
          <w:rFonts w:ascii="Times New Roman" w:hAnsi="Times New Roman" w:cs="Times New Roman"/>
        </w:rPr>
        <w:t xml:space="preserve">) с разбросом значений </w:t>
      </w:r>
      <w:r>
        <w:rPr>
          <w:rFonts w:ascii="Times New Roman" w:hAnsi="Times New Roman" w:cs="Times New Roman"/>
        </w:rPr>
        <w:t>7,0</w:t>
      </w:r>
      <w:r w:rsidRPr="00666C3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100</w:t>
      </w:r>
      <w:r w:rsidRPr="00666C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мк</w:t>
      </w:r>
      <w:r w:rsidRPr="00666C34">
        <w:rPr>
          <w:rFonts w:ascii="Times New Roman" w:hAnsi="Times New Roman" w:cs="Times New Roman"/>
        </w:rPr>
        <w:t>г/</w:t>
      </w:r>
      <w:r>
        <w:rPr>
          <w:rFonts w:ascii="Times New Roman" w:hAnsi="Times New Roman" w:cs="Times New Roman"/>
        </w:rPr>
        <w:t>д</w:t>
      </w:r>
      <w:r w:rsidRPr="00666C34">
        <w:rPr>
          <w:rFonts w:ascii="Times New Roman" w:hAnsi="Times New Roman" w:cs="Times New Roman"/>
        </w:rPr>
        <w:t xml:space="preserve">л. Получено уравнение регрессии </w:t>
      </w:r>
      <w:r w:rsidRPr="00666C34">
        <w:rPr>
          <w:rFonts w:ascii="Times New Roman" w:hAnsi="Times New Roman" w:cs="Times New Roman"/>
          <w:lang w:val="en-US"/>
        </w:rPr>
        <w:t>y</w:t>
      </w:r>
      <w:r w:rsidRPr="00666C34">
        <w:rPr>
          <w:rFonts w:ascii="Times New Roman" w:hAnsi="Times New Roman" w:cs="Times New Roman"/>
        </w:rPr>
        <w:t>=1,0</w:t>
      </w:r>
      <w:r>
        <w:rPr>
          <w:rFonts w:ascii="Times New Roman" w:hAnsi="Times New Roman" w:cs="Times New Roman"/>
        </w:rPr>
        <w:t>54</w:t>
      </w:r>
      <w:r w:rsidRPr="00666C34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>-1,972</w:t>
      </w:r>
      <w:r w:rsidRPr="00666C34">
        <w:rPr>
          <w:rFonts w:ascii="Times New Roman" w:hAnsi="Times New Roman" w:cs="Times New Roman"/>
        </w:rPr>
        <w:t xml:space="preserve"> с коэффициентом корреляции </w:t>
      </w:r>
      <w:r w:rsidRPr="00666C34">
        <w:rPr>
          <w:rFonts w:ascii="Times New Roman" w:hAnsi="Times New Roman" w:cs="Times New Roman"/>
          <w:lang w:val="en-US"/>
        </w:rPr>
        <w:t>R</w:t>
      </w:r>
      <w:r w:rsidRPr="00666C34">
        <w:rPr>
          <w:rFonts w:ascii="Times New Roman" w:hAnsi="Times New Roman" w:cs="Times New Roman"/>
        </w:rPr>
        <w:t>=0,9</w:t>
      </w:r>
      <w:r>
        <w:rPr>
          <w:rFonts w:ascii="Times New Roman" w:hAnsi="Times New Roman" w:cs="Times New Roman"/>
        </w:rPr>
        <w:t>9</w:t>
      </w:r>
      <w:r w:rsidRPr="00666C34">
        <w:rPr>
          <w:rFonts w:ascii="Times New Roman" w:hAnsi="Times New Roman" w:cs="Times New Roman"/>
        </w:rPr>
        <w:t>.</w:t>
      </w:r>
    </w:p>
    <w:p w:rsidR="00921E5F" w:rsidRPr="00AE22D7" w:rsidRDefault="00921E5F" w:rsidP="00921E5F">
      <w:pPr>
        <w:jc w:val="center"/>
        <w:rPr>
          <w:lang w:val="en-US"/>
        </w:rPr>
      </w:pPr>
      <w:r w:rsidRPr="00921E5F">
        <w:rPr>
          <w:noProof/>
          <w:lang w:eastAsia="ru-RU"/>
        </w:rPr>
        <w:lastRenderedPageBreak/>
        <w:drawing>
          <wp:inline distT="0" distB="0" distL="0" distR="0" wp14:anchorId="2F914818" wp14:editId="2AC453DD">
            <wp:extent cx="3611711" cy="3256908"/>
            <wp:effectExtent l="0" t="0" r="825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8275" cy="326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2602"/>
        <w:gridCol w:w="1792"/>
        <w:gridCol w:w="2797"/>
      </w:tblGrid>
      <w:tr w:rsidR="00921E5F" w:rsidRPr="00CC5F80" w:rsidTr="001A077E">
        <w:trPr>
          <w:trHeight w:val="356"/>
        </w:trPr>
        <w:tc>
          <w:tcPr>
            <w:tcW w:w="9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1E5F" w:rsidRPr="000151CF" w:rsidRDefault="00921E5F" w:rsidP="00C01509">
            <w:pPr>
              <w:spacing w:before="12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151CF">
              <w:rPr>
                <w:rFonts w:ascii="Times New Roman" w:hAnsi="Times New Roman" w:cs="Times New Roman"/>
              </w:rPr>
              <w:t>*</w:t>
            </w:r>
            <w:r w:rsidRPr="000151CF">
              <w:rPr>
                <w:rFonts w:ascii="Times New Roman" w:hAnsi="Times New Roman" w:cs="Times New Roman"/>
                <w:lang w:val="en-US"/>
              </w:rPr>
              <w:t>solo</w:t>
            </w:r>
            <w:r w:rsidRPr="000151CF">
              <w:rPr>
                <w:rFonts w:ascii="Times New Roman" w:hAnsi="Times New Roman" w:cs="Times New Roman"/>
              </w:rPr>
              <w:t xml:space="preserve"> – торговая марка компании </w:t>
            </w:r>
            <w:proofErr w:type="spellStart"/>
            <w:r w:rsidRPr="000151CF">
              <w:rPr>
                <w:rFonts w:ascii="Times New Roman" w:hAnsi="Times New Roman" w:cs="Times New Roman"/>
                <w:lang w:val="en-US"/>
              </w:rPr>
              <w:t>EuroLyser</w:t>
            </w:r>
            <w:proofErr w:type="spellEnd"/>
            <w:r w:rsidRPr="000151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CF">
              <w:rPr>
                <w:rFonts w:ascii="Times New Roman" w:hAnsi="Times New Roman" w:cs="Times New Roman"/>
                <w:lang w:val="en-US"/>
              </w:rPr>
              <w:t>Diagnostica</w:t>
            </w:r>
            <w:proofErr w:type="spellEnd"/>
            <w:r w:rsidRPr="000151CF">
              <w:rPr>
                <w:rFonts w:ascii="Times New Roman" w:hAnsi="Times New Roman" w:cs="Times New Roman"/>
              </w:rPr>
              <w:t xml:space="preserve"> </w:t>
            </w:r>
            <w:r w:rsidRPr="000151CF">
              <w:rPr>
                <w:rFonts w:ascii="Times New Roman" w:hAnsi="Times New Roman" w:cs="Times New Roman"/>
                <w:lang w:val="en-US"/>
              </w:rPr>
              <w:t>GmbH</w:t>
            </w:r>
            <w:r w:rsidRPr="000151CF">
              <w:rPr>
                <w:rFonts w:ascii="Times New Roman" w:hAnsi="Times New Roman" w:cs="Times New Roman"/>
              </w:rPr>
              <w:t>.</w:t>
            </w:r>
          </w:p>
          <w:p w:rsidR="00921E5F" w:rsidRPr="001117E6" w:rsidRDefault="00921E5F" w:rsidP="00C01509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720" w:rsidRPr="00CC5F80" w:rsidTr="00F41431">
        <w:trPr>
          <w:trHeight w:val="356"/>
        </w:trPr>
        <w:tc>
          <w:tcPr>
            <w:tcW w:w="9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F80" w:rsidRDefault="001117E6" w:rsidP="001A077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Использованные символы</w:t>
            </w:r>
          </w:p>
          <w:p w:rsidR="00E7233B" w:rsidRPr="001117E6" w:rsidRDefault="00E7233B" w:rsidP="00F414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EE9" w:rsidRPr="00CC5F80" w:rsidTr="00E7233B">
        <w:trPr>
          <w:trHeight w:val="786"/>
        </w:trPr>
        <w:tc>
          <w:tcPr>
            <w:tcW w:w="1985" w:type="dxa"/>
            <w:tcBorders>
              <w:top w:val="single" w:sz="4" w:space="0" w:color="auto"/>
            </w:tcBorders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66775" cy="512445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E7233B" w:rsidRDefault="00E7233B" w:rsidP="0012055D">
            <w:pPr>
              <w:rPr>
                <w:rFonts w:ascii="Times New Roman" w:hAnsi="Times New Roman" w:cs="Times New Roman"/>
              </w:rPr>
            </w:pPr>
          </w:p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Каталожный номер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8195" cy="534035"/>
                  <wp:effectExtent l="19050" t="0" r="190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CC5F80" w:rsidRPr="00CC5F80" w:rsidRDefault="009567E5" w:rsidP="00E7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использовании </w:t>
            </w:r>
            <w:r w:rsidR="00E7233B">
              <w:rPr>
                <w:rFonts w:ascii="Times New Roman" w:hAnsi="Times New Roman" w:cs="Times New Roman"/>
              </w:rPr>
              <w:t>обратитесь к</w:t>
            </w:r>
            <w:r>
              <w:rPr>
                <w:rFonts w:ascii="Times New Roman" w:hAnsi="Times New Roman" w:cs="Times New Roman"/>
              </w:rPr>
              <w:t xml:space="preserve"> инструкци</w:t>
            </w:r>
            <w:r w:rsidR="00E7233B">
              <w:rPr>
                <w:rFonts w:ascii="Times New Roman" w:hAnsi="Times New Roman" w:cs="Times New Roman"/>
              </w:rPr>
              <w:t>и</w:t>
            </w:r>
          </w:p>
        </w:tc>
      </w:tr>
      <w:tr w:rsidR="001E7EE9" w:rsidRPr="00CC5F80" w:rsidTr="00E7233B">
        <w:trPr>
          <w:trHeight w:val="786"/>
        </w:trPr>
        <w:tc>
          <w:tcPr>
            <w:tcW w:w="1985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8990" cy="50736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7233B" w:rsidRDefault="00E7233B" w:rsidP="0012055D">
            <w:pPr>
              <w:rPr>
                <w:rFonts w:ascii="Times New Roman" w:hAnsi="Times New Roman" w:cs="Times New Roman"/>
              </w:rPr>
            </w:pPr>
          </w:p>
          <w:p w:rsidR="00CC5F80" w:rsidRPr="00CC5F80" w:rsidRDefault="00592C1D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партии</w:t>
            </w:r>
          </w:p>
        </w:tc>
        <w:tc>
          <w:tcPr>
            <w:tcW w:w="1792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3115" cy="534035"/>
                  <wp:effectExtent l="1905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E7233B" w:rsidRDefault="00E7233B" w:rsidP="0012055D">
            <w:pPr>
              <w:rPr>
                <w:rFonts w:ascii="Times New Roman" w:hAnsi="Times New Roman" w:cs="Times New Roman"/>
              </w:rPr>
            </w:pPr>
          </w:p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до</w:t>
            </w:r>
          </w:p>
        </w:tc>
      </w:tr>
      <w:tr w:rsidR="001E7EE9" w:rsidRPr="00CC5F80" w:rsidTr="00E7233B">
        <w:trPr>
          <w:trHeight w:val="712"/>
        </w:trPr>
        <w:tc>
          <w:tcPr>
            <w:tcW w:w="1985" w:type="dxa"/>
          </w:tcPr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34695" cy="475615"/>
                  <wp:effectExtent l="1905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7233B" w:rsidRDefault="00E7233B" w:rsidP="00C11C80">
            <w:pPr>
              <w:pStyle w:val="Default"/>
              <w:rPr>
                <w:sz w:val="22"/>
                <w:szCs w:val="22"/>
              </w:rPr>
            </w:pPr>
          </w:p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1792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48641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CC5F80" w:rsidRPr="00CC5F80" w:rsidRDefault="009567E5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 соответствия европейским стандартам</w:t>
            </w:r>
          </w:p>
        </w:tc>
      </w:tr>
      <w:tr w:rsidR="001E7EE9" w:rsidRPr="00CC5F80" w:rsidTr="00E7233B">
        <w:trPr>
          <w:trHeight w:val="786"/>
        </w:trPr>
        <w:tc>
          <w:tcPr>
            <w:tcW w:w="1985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8990" cy="47561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7233B" w:rsidRDefault="00E7233B" w:rsidP="00C11C80">
            <w:pPr>
              <w:pStyle w:val="Default"/>
              <w:rPr>
                <w:sz w:val="22"/>
                <w:szCs w:val="22"/>
              </w:rPr>
            </w:pPr>
          </w:p>
          <w:p w:rsidR="00CC5F80" w:rsidRPr="00CC5F80" w:rsidRDefault="00592C1D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Температурные пределы</w:t>
            </w:r>
          </w:p>
        </w:tc>
        <w:tc>
          <w:tcPr>
            <w:tcW w:w="1792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0927" cy="544411"/>
                  <wp:effectExtent l="19050" t="0" r="2973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641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E7233B" w:rsidRDefault="00E7233B" w:rsidP="00C11C80">
            <w:pPr>
              <w:pStyle w:val="Default"/>
              <w:rPr>
                <w:sz w:val="22"/>
                <w:szCs w:val="22"/>
              </w:rPr>
            </w:pPr>
          </w:p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Осторожно</w:t>
            </w:r>
            <w:r w:rsidR="00F41431">
              <w:rPr>
                <w:sz w:val="22"/>
                <w:szCs w:val="22"/>
              </w:rPr>
              <w:t>!</w:t>
            </w:r>
          </w:p>
        </w:tc>
      </w:tr>
      <w:tr w:rsidR="001E7EE9" w:rsidRPr="00CC5F80" w:rsidTr="00E7233B">
        <w:trPr>
          <w:trHeight w:val="786"/>
        </w:trPr>
        <w:tc>
          <w:tcPr>
            <w:tcW w:w="1985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8195" cy="523240"/>
                  <wp:effectExtent l="19050" t="0" r="190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исполь</w:t>
            </w:r>
            <w:r w:rsidR="00592C1D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овать повторно</w:t>
            </w:r>
          </w:p>
        </w:tc>
        <w:tc>
          <w:tcPr>
            <w:tcW w:w="1792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523240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E7233B" w:rsidRDefault="00E7233B" w:rsidP="00C11C80">
            <w:pPr>
              <w:pStyle w:val="Default"/>
              <w:rPr>
                <w:sz w:val="22"/>
                <w:szCs w:val="22"/>
              </w:rPr>
            </w:pPr>
          </w:p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Рассчитано на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652"/>
        <w:gridCol w:w="5670"/>
      </w:tblGrid>
      <w:tr w:rsidR="00592C1D" w:rsidRPr="0000570A" w:rsidTr="008E79AA">
        <w:trPr>
          <w:trHeight w:val="112"/>
        </w:trPr>
        <w:tc>
          <w:tcPr>
            <w:tcW w:w="3652" w:type="dxa"/>
          </w:tcPr>
          <w:p w:rsidR="006C1CCB" w:rsidRPr="006C1CCB" w:rsidRDefault="006C1CCB">
            <w:pPr>
              <w:pStyle w:val="Default"/>
              <w:rPr>
                <w:sz w:val="23"/>
                <w:szCs w:val="23"/>
              </w:rPr>
            </w:pPr>
          </w:p>
          <w:p w:rsidR="006C1CCB" w:rsidRPr="006C1CCB" w:rsidRDefault="006C1CCB">
            <w:pPr>
              <w:pStyle w:val="Default"/>
              <w:rPr>
                <w:sz w:val="23"/>
                <w:szCs w:val="23"/>
              </w:rPr>
            </w:pPr>
          </w:p>
          <w:p w:rsidR="006C1CCB" w:rsidRPr="006C1CCB" w:rsidRDefault="006C1CCB">
            <w:pPr>
              <w:pStyle w:val="Default"/>
              <w:rPr>
                <w:sz w:val="23"/>
                <w:szCs w:val="23"/>
              </w:rPr>
            </w:pPr>
          </w:p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Поставщик:</w:t>
            </w:r>
          </w:p>
        </w:tc>
        <w:tc>
          <w:tcPr>
            <w:tcW w:w="5670" w:type="dxa"/>
          </w:tcPr>
          <w:p w:rsidR="006C1CCB" w:rsidRPr="007C709B" w:rsidRDefault="006C1CCB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6C1CCB" w:rsidRDefault="006C1CCB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1A077E" w:rsidRPr="007C709B" w:rsidRDefault="001A077E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592C1D" w:rsidRPr="006C1CCB" w:rsidRDefault="004605AC" w:rsidP="004605AC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SKYLA CORPORATION</w:t>
            </w:r>
            <w:r w:rsidR="00592C1D" w:rsidRPr="006C1CCB">
              <w:rPr>
                <w:sz w:val="23"/>
                <w:szCs w:val="23"/>
                <w:lang w:val="en-US"/>
              </w:rPr>
              <w:t xml:space="preserve"> H.S.P.B. </w:t>
            </w:r>
          </w:p>
        </w:tc>
      </w:tr>
      <w:tr w:rsidR="00592C1D" w:rsidRPr="0000570A" w:rsidTr="008E79AA">
        <w:trPr>
          <w:trHeight w:val="124"/>
        </w:trPr>
        <w:tc>
          <w:tcPr>
            <w:tcW w:w="3652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Адрес:</w:t>
            </w:r>
          </w:p>
        </w:tc>
        <w:tc>
          <w:tcPr>
            <w:tcW w:w="5670" w:type="dxa"/>
          </w:tcPr>
          <w:p w:rsidR="00592C1D" w:rsidRPr="006C1CCB" w:rsidRDefault="00592C1D" w:rsidP="00921E5F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  <w:lang w:val="en-US"/>
              </w:rPr>
              <w:t xml:space="preserve">No. 8, </w:t>
            </w:r>
            <w:proofErr w:type="spellStart"/>
            <w:r w:rsidRPr="006C1CCB">
              <w:rPr>
                <w:sz w:val="23"/>
                <w:szCs w:val="23"/>
                <w:lang w:val="en-US"/>
              </w:rPr>
              <w:t>Dusing</w:t>
            </w:r>
            <w:proofErr w:type="spellEnd"/>
            <w:r w:rsidRPr="006C1CCB">
              <w:rPr>
                <w:sz w:val="23"/>
                <w:szCs w:val="23"/>
                <w:lang w:val="en-US"/>
              </w:rPr>
              <w:t xml:space="preserve"> Road, Hsinchu Science Park</w:t>
            </w:r>
            <w:r w:rsidR="00921E5F" w:rsidRPr="00921E5F">
              <w:rPr>
                <w:sz w:val="23"/>
                <w:szCs w:val="23"/>
                <w:lang w:val="en-US"/>
              </w:rPr>
              <w:t>,</w:t>
            </w:r>
            <w:r w:rsidR="004605AC">
              <w:rPr>
                <w:sz w:val="23"/>
                <w:szCs w:val="23"/>
                <w:lang w:val="en-US"/>
              </w:rPr>
              <w:t xml:space="preserve"> </w:t>
            </w:r>
            <w:r w:rsidRPr="006C1CCB">
              <w:rPr>
                <w:sz w:val="23"/>
                <w:szCs w:val="23"/>
                <w:lang w:val="en-US"/>
              </w:rPr>
              <w:t>Hsinchu</w:t>
            </w:r>
            <w:r w:rsidR="004605AC">
              <w:rPr>
                <w:sz w:val="23"/>
                <w:szCs w:val="23"/>
                <w:lang w:val="en-US"/>
              </w:rPr>
              <w:t xml:space="preserve"> City</w:t>
            </w:r>
            <w:r w:rsidRPr="006C1CCB">
              <w:rPr>
                <w:sz w:val="23"/>
                <w:szCs w:val="23"/>
                <w:lang w:val="en-US"/>
              </w:rPr>
              <w:t>, Taiwan</w:t>
            </w:r>
          </w:p>
        </w:tc>
      </w:tr>
      <w:tr w:rsidR="00592C1D" w:rsidRPr="004605AC" w:rsidTr="008E79AA">
        <w:trPr>
          <w:trHeight w:val="256"/>
        </w:trPr>
        <w:tc>
          <w:tcPr>
            <w:tcW w:w="3652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</w:rPr>
              <w:t>Служба</w:t>
            </w:r>
            <w:r w:rsidRPr="004605AC">
              <w:rPr>
                <w:sz w:val="23"/>
                <w:szCs w:val="23"/>
                <w:lang w:val="en-US"/>
              </w:rPr>
              <w:t xml:space="preserve"> </w:t>
            </w:r>
            <w:r w:rsidRPr="006C1CCB">
              <w:rPr>
                <w:sz w:val="23"/>
                <w:szCs w:val="23"/>
              </w:rPr>
              <w:t>технической</w:t>
            </w:r>
            <w:r w:rsidRPr="004605AC">
              <w:rPr>
                <w:sz w:val="23"/>
                <w:szCs w:val="23"/>
                <w:lang w:val="en-US"/>
              </w:rPr>
              <w:t xml:space="preserve"> </w:t>
            </w:r>
            <w:r w:rsidRPr="006C1CCB">
              <w:rPr>
                <w:sz w:val="23"/>
                <w:szCs w:val="23"/>
              </w:rPr>
              <w:t>поддержки</w:t>
            </w:r>
            <w:r w:rsidRPr="004605AC">
              <w:rPr>
                <w:sz w:val="23"/>
                <w:szCs w:val="23"/>
                <w:lang w:val="en-US"/>
              </w:rPr>
              <w:t>:</w:t>
            </w:r>
          </w:p>
        </w:tc>
        <w:tc>
          <w:tcPr>
            <w:tcW w:w="5670" w:type="dxa"/>
          </w:tcPr>
          <w:p w:rsidR="00592C1D" w:rsidRPr="00921E5F" w:rsidRDefault="00592C1D" w:rsidP="00921E5F">
            <w:pPr>
              <w:pStyle w:val="Default"/>
              <w:rPr>
                <w:sz w:val="23"/>
                <w:szCs w:val="23"/>
              </w:rPr>
            </w:pPr>
            <w:r w:rsidRPr="004605AC">
              <w:rPr>
                <w:sz w:val="23"/>
                <w:szCs w:val="23"/>
                <w:lang w:val="en-US"/>
              </w:rPr>
              <w:t>+886-3-61</w:t>
            </w:r>
            <w:r w:rsidR="00921E5F">
              <w:rPr>
                <w:sz w:val="23"/>
                <w:szCs w:val="23"/>
              </w:rPr>
              <w:t>2</w:t>
            </w:r>
            <w:r w:rsidRPr="004605AC">
              <w:rPr>
                <w:sz w:val="23"/>
                <w:szCs w:val="23"/>
                <w:lang w:val="en-US"/>
              </w:rPr>
              <w:t>-</w:t>
            </w:r>
            <w:r w:rsidR="00921E5F">
              <w:rPr>
                <w:sz w:val="23"/>
                <w:szCs w:val="23"/>
              </w:rPr>
              <w:t>1288</w:t>
            </w:r>
          </w:p>
        </w:tc>
      </w:tr>
      <w:tr w:rsidR="00592C1D" w:rsidRPr="004605AC" w:rsidTr="008E79AA">
        <w:trPr>
          <w:trHeight w:val="124"/>
        </w:trPr>
        <w:tc>
          <w:tcPr>
            <w:tcW w:w="3652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</w:rPr>
              <w:t>Сайт</w:t>
            </w:r>
            <w:r w:rsidRPr="004605AC">
              <w:rPr>
                <w:sz w:val="23"/>
                <w:szCs w:val="23"/>
                <w:lang w:val="en-US"/>
              </w:rPr>
              <w:t>:</w:t>
            </w:r>
          </w:p>
        </w:tc>
        <w:tc>
          <w:tcPr>
            <w:tcW w:w="5670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4605AC">
              <w:rPr>
                <w:sz w:val="23"/>
                <w:szCs w:val="23"/>
                <w:lang w:val="en-US"/>
              </w:rPr>
              <w:t>www.skyla.com</w:t>
            </w:r>
          </w:p>
        </w:tc>
      </w:tr>
    </w:tbl>
    <w:p w:rsidR="006C1CCB" w:rsidRPr="004605AC" w:rsidRDefault="006C1CCB" w:rsidP="006C1CCB">
      <w:pPr>
        <w:pStyle w:val="Default"/>
        <w:jc w:val="center"/>
        <w:rPr>
          <w:sz w:val="23"/>
          <w:szCs w:val="23"/>
          <w:lang w:val="en-US"/>
        </w:rPr>
      </w:pPr>
      <w:r w:rsidRPr="004605AC">
        <w:rPr>
          <w:sz w:val="23"/>
          <w:szCs w:val="23"/>
          <w:lang w:val="en-US"/>
        </w:rPr>
        <w:t xml:space="preserve">                                                                                         </w:t>
      </w:r>
    </w:p>
    <w:p w:rsidR="006C1CCB" w:rsidRPr="004605AC" w:rsidRDefault="006C1CCB" w:rsidP="006C1CCB">
      <w:pPr>
        <w:pStyle w:val="Default"/>
        <w:jc w:val="center"/>
        <w:rPr>
          <w:sz w:val="23"/>
          <w:szCs w:val="23"/>
          <w:lang w:val="en-US"/>
        </w:rPr>
      </w:pPr>
      <w:r w:rsidRPr="004605AC">
        <w:rPr>
          <w:sz w:val="23"/>
          <w:szCs w:val="23"/>
          <w:lang w:val="en-US"/>
        </w:rPr>
        <w:t xml:space="preserve">                                                                                        </w:t>
      </w:r>
    </w:p>
    <w:p w:rsidR="00B6404D" w:rsidRDefault="006C1CCB" w:rsidP="001E7EE9">
      <w:pPr>
        <w:pStyle w:val="Default"/>
        <w:jc w:val="center"/>
        <w:rPr>
          <w:sz w:val="23"/>
          <w:szCs w:val="23"/>
        </w:rPr>
      </w:pPr>
      <w:r w:rsidRPr="004605AC">
        <w:rPr>
          <w:sz w:val="23"/>
          <w:szCs w:val="23"/>
          <w:lang w:val="en-US"/>
        </w:rPr>
        <w:t xml:space="preserve">     </w:t>
      </w:r>
      <w:r w:rsidRPr="006C1CCB">
        <w:rPr>
          <w:sz w:val="23"/>
          <w:szCs w:val="23"/>
        </w:rPr>
        <w:t>Дата</w:t>
      </w:r>
      <w:r w:rsidRPr="006C1CCB">
        <w:rPr>
          <w:sz w:val="23"/>
          <w:szCs w:val="23"/>
          <w:lang w:val="en-US"/>
        </w:rPr>
        <w:t xml:space="preserve"> </w:t>
      </w:r>
      <w:r w:rsidRPr="006C1CCB">
        <w:rPr>
          <w:sz w:val="23"/>
          <w:szCs w:val="23"/>
        </w:rPr>
        <w:t>выпуска</w:t>
      </w:r>
      <w:r w:rsidRPr="006C1CCB">
        <w:rPr>
          <w:sz w:val="23"/>
          <w:szCs w:val="23"/>
          <w:lang w:val="en-US"/>
        </w:rPr>
        <w:t xml:space="preserve">: </w:t>
      </w:r>
      <w:r w:rsidR="00715566">
        <w:rPr>
          <w:sz w:val="23"/>
          <w:szCs w:val="23"/>
        </w:rPr>
        <w:t>2</w:t>
      </w:r>
      <w:r w:rsidR="00921E5F">
        <w:rPr>
          <w:sz w:val="23"/>
          <w:szCs w:val="23"/>
        </w:rPr>
        <w:t>5</w:t>
      </w:r>
      <w:r w:rsidRPr="006C1CCB">
        <w:rPr>
          <w:sz w:val="23"/>
          <w:szCs w:val="23"/>
          <w:lang w:val="en-US"/>
        </w:rPr>
        <w:t>.0</w:t>
      </w:r>
      <w:r w:rsidR="00921E5F">
        <w:rPr>
          <w:sz w:val="23"/>
          <w:szCs w:val="23"/>
        </w:rPr>
        <w:t>6</w:t>
      </w:r>
      <w:r w:rsidRPr="006C1CCB">
        <w:rPr>
          <w:sz w:val="23"/>
          <w:szCs w:val="23"/>
          <w:lang w:val="en-US"/>
        </w:rPr>
        <w:t>.20</w:t>
      </w:r>
      <w:r w:rsidR="00921E5F">
        <w:rPr>
          <w:sz w:val="23"/>
          <w:szCs w:val="23"/>
        </w:rPr>
        <w:t>21</w:t>
      </w:r>
      <w:r w:rsidR="004605AC">
        <w:rPr>
          <w:sz w:val="23"/>
          <w:szCs w:val="23"/>
          <w:lang w:val="en-US"/>
        </w:rPr>
        <w:t xml:space="preserve">         </w:t>
      </w:r>
      <w:r w:rsidR="004605AC">
        <w:rPr>
          <w:sz w:val="23"/>
          <w:szCs w:val="23"/>
        </w:rPr>
        <w:t xml:space="preserve"> Дата ревизии: </w:t>
      </w:r>
      <w:r w:rsidR="00921E5F">
        <w:rPr>
          <w:sz w:val="23"/>
          <w:szCs w:val="23"/>
        </w:rPr>
        <w:t>12</w:t>
      </w:r>
      <w:r w:rsidR="004605AC">
        <w:rPr>
          <w:sz w:val="23"/>
          <w:szCs w:val="23"/>
        </w:rPr>
        <w:t>.0</w:t>
      </w:r>
      <w:r w:rsidR="00921E5F">
        <w:rPr>
          <w:sz w:val="23"/>
          <w:szCs w:val="23"/>
        </w:rPr>
        <w:t>7</w:t>
      </w:r>
      <w:r w:rsidR="004605AC">
        <w:rPr>
          <w:sz w:val="23"/>
          <w:szCs w:val="23"/>
        </w:rPr>
        <w:t>.202</w:t>
      </w:r>
      <w:r w:rsidR="00921E5F">
        <w:rPr>
          <w:sz w:val="23"/>
          <w:szCs w:val="23"/>
        </w:rPr>
        <w:t>2</w:t>
      </w:r>
    </w:p>
    <w:p w:rsidR="00B6404D" w:rsidRPr="00B6404D" w:rsidRDefault="00B6404D" w:rsidP="001E7EE9">
      <w:pPr>
        <w:pStyle w:val="Default"/>
        <w:jc w:val="center"/>
        <w:rPr>
          <w:lang w:val="en-US"/>
        </w:rPr>
      </w:pPr>
      <w:r>
        <w:rPr>
          <w:sz w:val="23"/>
          <w:szCs w:val="23"/>
        </w:rPr>
        <w:t xml:space="preserve">                    </w:t>
      </w:r>
      <w:r>
        <w:rPr>
          <w:sz w:val="23"/>
          <w:szCs w:val="23"/>
          <w:lang w:val="en-US"/>
        </w:rPr>
        <w:t xml:space="preserve">                                                         </w:t>
      </w:r>
    </w:p>
    <w:sectPr w:rsidR="00B6404D" w:rsidRPr="00B6404D" w:rsidSect="0025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altName w:val="MV Bol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E08"/>
    <w:multiLevelType w:val="hybridMultilevel"/>
    <w:tmpl w:val="0512F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E48"/>
    <w:multiLevelType w:val="hybridMultilevel"/>
    <w:tmpl w:val="D9F64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2856"/>
    <w:multiLevelType w:val="hybridMultilevel"/>
    <w:tmpl w:val="293E96AC"/>
    <w:lvl w:ilvl="0" w:tplc="04090003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37FB8"/>
    <w:multiLevelType w:val="hybridMultilevel"/>
    <w:tmpl w:val="D9F6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799"/>
    <w:multiLevelType w:val="hybridMultilevel"/>
    <w:tmpl w:val="6798BDD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20870"/>
    <w:multiLevelType w:val="hybridMultilevel"/>
    <w:tmpl w:val="FB1272E0"/>
    <w:lvl w:ilvl="0" w:tplc="18DAECF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05CB7"/>
    <w:multiLevelType w:val="hybridMultilevel"/>
    <w:tmpl w:val="9F644C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D6347"/>
    <w:multiLevelType w:val="hybridMultilevel"/>
    <w:tmpl w:val="9228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50271"/>
    <w:multiLevelType w:val="hybridMultilevel"/>
    <w:tmpl w:val="4D202146"/>
    <w:lvl w:ilvl="0" w:tplc="43F6C44C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12F8F"/>
    <w:multiLevelType w:val="hybridMultilevel"/>
    <w:tmpl w:val="8B72109C"/>
    <w:lvl w:ilvl="0" w:tplc="04090003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B578DA"/>
    <w:multiLevelType w:val="hybridMultilevel"/>
    <w:tmpl w:val="1C263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C1E7F"/>
    <w:multiLevelType w:val="hybridMultilevel"/>
    <w:tmpl w:val="5F4EADF0"/>
    <w:lvl w:ilvl="0" w:tplc="FFA4F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4FBC"/>
    <w:multiLevelType w:val="hybridMultilevel"/>
    <w:tmpl w:val="F106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65203"/>
    <w:multiLevelType w:val="hybridMultilevel"/>
    <w:tmpl w:val="E6F6269C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508FD"/>
    <w:multiLevelType w:val="hybridMultilevel"/>
    <w:tmpl w:val="EDC06AF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8E"/>
    <w:rsid w:val="0000570A"/>
    <w:rsid w:val="000139F3"/>
    <w:rsid w:val="00015AE7"/>
    <w:rsid w:val="000650B8"/>
    <w:rsid w:val="00072575"/>
    <w:rsid w:val="00073CE4"/>
    <w:rsid w:val="000818E4"/>
    <w:rsid w:val="0008479A"/>
    <w:rsid w:val="000922DD"/>
    <w:rsid w:val="000F3CE3"/>
    <w:rsid w:val="001117E6"/>
    <w:rsid w:val="00113FC6"/>
    <w:rsid w:val="0012055D"/>
    <w:rsid w:val="00142231"/>
    <w:rsid w:val="00142718"/>
    <w:rsid w:val="0018471E"/>
    <w:rsid w:val="001A077E"/>
    <w:rsid w:val="001A3113"/>
    <w:rsid w:val="001C1F72"/>
    <w:rsid w:val="001C6C50"/>
    <w:rsid w:val="001E7EE9"/>
    <w:rsid w:val="00207797"/>
    <w:rsid w:val="00226435"/>
    <w:rsid w:val="00256BCD"/>
    <w:rsid w:val="00261357"/>
    <w:rsid w:val="002850CB"/>
    <w:rsid w:val="002D39ED"/>
    <w:rsid w:val="002D4A8C"/>
    <w:rsid w:val="002D5E32"/>
    <w:rsid w:val="003026E5"/>
    <w:rsid w:val="00312459"/>
    <w:rsid w:val="00331F05"/>
    <w:rsid w:val="00334877"/>
    <w:rsid w:val="00344666"/>
    <w:rsid w:val="00352DAD"/>
    <w:rsid w:val="00353F1D"/>
    <w:rsid w:val="00363B9C"/>
    <w:rsid w:val="003730BE"/>
    <w:rsid w:val="003740D7"/>
    <w:rsid w:val="00386F0A"/>
    <w:rsid w:val="00393DA3"/>
    <w:rsid w:val="003B27E5"/>
    <w:rsid w:val="003C46AB"/>
    <w:rsid w:val="003D47E7"/>
    <w:rsid w:val="003F4A1F"/>
    <w:rsid w:val="00402472"/>
    <w:rsid w:val="004049D3"/>
    <w:rsid w:val="00406994"/>
    <w:rsid w:val="00412628"/>
    <w:rsid w:val="00426327"/>
    <w:rsid w:val="00426BBC"/>
    <w:rsid w:val="00443DA4"/>
    <w:rsid w:val="004522A5"/>
    <w:rsid w:val="004605AC"/>
    <w:rsid w:val="00466D0D"/>
    <w:rsid w:val="00481E1E"/>
    <w:rsid w:val="00497DC4"/>
    <w:rsid w:val="004C4C78"/>
    <w:rsid w:val="004D0D87"/>
    <w:rsid w:val="004D2C2D"/>
    <w:rsid w:val="004D3142"/>
    <w:rsid w:val="004F6B21"/>
    <w:rsid w:val="005152B1"/>
    <w:rsid w:val="005340DE"/>
    <w:rsid w:val="00565E47"/>
    <w:rsid w:val="005700DA"/>
    <w:rsid w:val="00571793"/>
    <w:rsid w:val="005875BE"/>
    <w:rsid w:val="00592C1D"/>
    <w:rsid w:val="00597D01"/>
    <w:rsid w:val="005E1056"/>
    <w:rsid w:val="00610BE1"/>
    <w:rsid w:val="00611450"/>
    <w:rsid w:val="006119FE"/>
    <w:rsid w:val="00616F72"/>
    <w:rsid w:val="006326DB"/>
    <w:rsid w:val="00637719"/>
    <w:rsid w:val="0064228E"/>
    <w:rsid w:val="00652E4A"/>
    <w:rsid w:val="00683BFE"/>
    <w:rsid w:val="00683F0C"/>
    <w:rsid w:val="006C1CCB"/>
    <w:rsid w:val="006C2283"/>
    <w:rsid w:val="006D253A"/>
    <w:rsid w:val="006F0D85"/>
    <w:rsid w:val="00715566"/>
    <w:rsid w:val="00715E4F"/>
    <w:rsid w:val="00723AD2"/>
    <w:rsid w:val="0073056E"/>
    <w:rsid w:val="00737F9B"/>
    <w:rsid w:val="00743E3B"/>
    <w:rsid w:val="00755AA6"/>
    <w:rsid w:val="0077032A"/>
    <w:rsid w:val="00776E9A"/>
    <w:rsid w:val="00786899"/>
    <w:rsid w:val="00786B85"/>
    <w:rsid w:val="007C709B"/>
    <w:rsid w:val="007C7EBB"/>
    <w:rsid w:val="00815CEE"/>
    <w:rsid w:val="00821BF9"/>
    <w:rsid w:val="00824E4B"/>
    <w:rsid w:val="00842CC4"/>
    <w:rsid w:val="00850307"/>
    <w:rsid w:val="0085472E"/>
    <w:rsid w:val="00864688"/>
    <w:rsid w:val="00894720"/>
    <w:rsid w:val="008958B5"/>
    <w:rsid w:val="008A05A8"/>
    <w:rsid w:val="008A6F23"/>
    <w:rsid w:val="008D10A9"/>
    <w:rsid w:val="008E79AA"/>
    <w:rsid w:val="00921A66"/>
    <w:rsid w:val="00921E5F"/>
    <w:rsid w:val="009344CE"/>
    <w:rsid w:val="009364A4"/>
    <w:rsid w:val="00936DE0"/>
    <w:rsid w:val="009567E5"/>
    <w:rsid w:val="00995D0F"/>
    <w:rsid w:val="009B057C"/>
    <w:rsid w:val="009B0983"/>
    <w:rsid w:val="00A02C80"/>
    <w:rsid w:val="00A06334"/>
    <w:rsid w:val="00A06A93"/>
    <w:rsid w:val="00A20689"/>
    <w:rsid w:val="00A32FD3"/>
    <w:rsid w:val="00A36DD7"/>
    <w:rsid w:val="00A56653"/>
    <w:rsid w:val="00A659A3"/>
    <w:rsid w:val="00A67C44"/>
    <w:rsid w:val="00A776C9"/>
    <w:rsid w:val="00AC349D"/>
    <w:rsid w:val="00AC43A4"/>
    <w:rsid w:val="00AD67A0"/>
    <w:rsid w:val="00AD7242"/>
    <w:rsid w:val="00AE0EE6"/>
    <w:rsid w:val="00AE343A"/>
    <w:rsid w:val="00AF2A2A"/>
    <w:rsid w:val="00B568B1"/>
    <w:rsid w:val="00B6404D"/>
    <w:rsid w:val="00B70186"/>
    <w:rsid w:val="00B8549C"/>
    <w:rsid w:val="00B86195"/>
    <w:rsid w:val="00BD783A"/>
    <w:rsid w:val="00BE6D0B"/>
    <w:rsid w:val="00BF089C"/>
    <w:rsid w:val="00BF3878"/>
    <w:rsid w:val="00C11C80"/>
    <w:rsid w:val="00C26895"/>
    <w:rsid w:val="00C50C88"/>
    <w:rsid w:val="00C67C1A"/>
    <w:rsid w:val="00C747D0"/>
    <w:rsid w:val="00C74951"/>
    <w:rsid w:val="00C82667"/>
    <w:rsid w:val="00C835B6"/>
    <w:rsid w:val="00CC2388"/>
    <w:rsid w:val="00CC2470"/>
    <w:rsid w:val="00CC5F80"/>
    <w:rsid w:val="00CE0843"/>
    <w:rsid w:val="00CF5465"/>
    <w:rsid w:val="00D05DE0"/>
    <w:rsid w:val="00D14FD5"/>
    <w:rsid w:val="00D301F8"/>
    <w:rsid w:val="00D44AD4"/>
    <w:rsid w:val="00D8488C"/>
    <w:rsid w:val="00D87EFD"/>
    <w:rsid w:val="00DA1845"/>
    <w:rsid w:val="00DA6AFB"/>
    <w:rsid w:val="00DB3CB4"/>
    <w:rsid w:val="00DC0D6B"/>
    <w:rsid w:val="00DC1823"/>
    <w:rsid w:val="00DC2E2B"/>
    <w:rsid w:val="00DC4D5F"/>
    <w:rsid w:val="00E07502"/>
    <w:rsid w:val="00E12986"/>
    <w:rsid w:val="00E1504A"/>
    <w:rsid w:val="00E24D59"/>
    <w:rsid w:val="00E446F5"/>
    <w:rsid w:val="00E5156C"/>
    <w:rsid w:val="00E56919"/>
    <w:rsid w:val="00E67676"/>
    <w:rsid w:val="00E7233B"/>
    <w:rsid w:val="00E75F40"/>
    <w:rsid w:val="00E8595C"/>
    <w:rsid w:val="00E910C7"/>
    <w:rsid w:val="00EA3784"/>
    <w:rsid w:val="00EB4161"/>
    <w:rsid w:val="00EB6DC8"/>
    <w:rsid w:val="00EE1184"/>
    <w:rsid w:val="00EF3B34"/>
    <w:rsid w:val="00F14349"/>
    <w:rsid w:val="00F14D35"/>
    <w:rsid w:val="00F41431"/>
    <w:rsid w:val="00F4575F"/>
    <w:rsid w:val="00F561C4"/>
    <w:rsid w:val="00F61B34"/>
    <w:rsid w:val="00F70371"/>
    <w:rsid w:val="00F71D66"/>
    <w:rsid w:val="00F8211B"/>
    <w:rsid w:val="00F94877"/>
    <w:rsid w:val="00FA6042"/>
    <w:rsid w:val="00FB7D13"/>
    <w:rsid w:val="00FD02F8"/>
    <w:rsid w:val="00F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8C655-969D-4A07-A3D4-2CD228C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v.bulgakov</cp:lastModifiedBy>
  <cp:revision>4</cp:revision>
  <dcterms:created xsi:type="dcterms:W3CDTF">2022-09-26T13:23:00Z</dcterms:created>
  <dcterms:modified xsi:type="dcterms:W3CDTF">2023-01-11T09:29:00Z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1848308692</vt:i4>
  </property>
</Properties>
</file>