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3.743999pt;margin-top:35.999977pt;width:467.95pt;height:30.15pt;mso-position-horizontal-relative:page;mso-position-vertical-relative:page;z-index:15728640" id="docshapegroup1" coordorigin="1275,720" coordsize="9359,603">
            <v:shape style="position:absolute;left:1303;top:720;width:1579;height:566" type="#_x0000_t75" id="docshape2" stroked="false">
              <v:imagedata r:id="rId5" o:title=""/>
            </v:shape>
            <v:rect style="position:absolute;left:1274;top:1308;width:9359;height:15" id="docshape3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63.743999pt;margin-top:759.959961pt;width:467.95pt;height:.48pt;mso-position-horizontal-relative:page;mso-position-vertical-relative:page;z-index:15729152" id="docshape4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49" w:lineRule="auto"/>
      </w:pPr>
      <w:r>
        <w:rPr>
          <w:color w:val="0000FF"/>
        </w:rPr>
        <w:t>Контрольная</w:t>
      </w:r>
      <w:r>
        <w:rPr>
          <w:color w:val="0000FF"/>
          <w:spacing w:val="-12"/>
        </w:rPr>
        <w:t> </w:t>
      </w:r>
      <w:r>
        <w:rPr>
          <w:color w:val="0000FF"/>
        </w:rPr>
        <w:t>сыворотка</w:t>
      </w:r>
      <w:r>
        <w:rPr>
          <w:color w:val="0000FF"/>
          <w:spacing w:val="-11"/>
        </w:rPr>
        <w:t> </w:t>
      </w:r>
      <w:r>
        <w:rPr>
          <w:color w:val="0000FF"/>
        </w:rPr>
        <w:t>для</w:t>
      </w:r>
      <w:r>
        <w:rPr>
          <w:color w:val="0000FF"/>
          <w:spacing w:val="-9"/>
        </w:rPr>
        <w:t> </w:t>
      </w:r>
      <w:r>
        <w:rPr>
          <w:color w:val="0000FF"/>
        </w:rPr>
        <w:t>определения</w:t>
      </w:r>
      <w:r>
        <w:rPr>
          <w:color w:val="0000FF"/>
          <w:spacing w:val="-86"/>
        </w:rPr>
        <w:t> </w:t>
      </w:r>
      <w:r>
        <w:rPr>
          <w:color w:val="0000FF"/>
        </w:rPr>
        <w:t>ретинол-связывающего</w:t>
      </w:r>
      <w:r>
        <w:rPr>
          <w:color w:val="0000FF"/>
          <w:spacing w:val="-2"/>
        </w:rPr>
        <w:t> </w:t>
      </w:r>
      <w:r>
        <w:rPr>
          <w:color w:val="0000FF"/>
        </w:rPr>
        <w:t>белка</w:t>
      </w:r>
    </w:p>
    <w:p>
      <w:pPr>
        <w:pStyle w:val="Heading1"/>
        <w:spacing w:before="169"/>
      </w:pPr>
      <w:r>
        <w:rPr/>
        <w:t>ОПИСАНИЕ</w:t>
      </w:r>
    </w:p>
    <w:p>
      <w:pPr>
        <w:pStyle w:val="BodyText"/>
        <w:spacing w:before="7" w:after="1"/>
        <w:rPr>
          <w:b/>
          <w:sz w:val="24"/>
        </w:rPr>
      </w:pPr>
    </w:p>
    <w:tbl>
      <w:tblPr>
        <w:tblW w:w="0" w:type="auto"/>
        <w:jc w:val="left"/>
        <w:tblInd w:w="15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2981"/>
      </w:tblGrid>
      <w:tr>
        <w:trPr>
          <w:trHeight w:val="311" w:hRule="atLeast"/>
        </w:trPr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05" w:right="1072"/>
              <w:rPr>
                <w:sz w:val="18"/>
              </w:rPr>
            </w:pPr>
            <w:r>
              <w:rPr>
                <w:sz w:val="18"/>
              </w:rPr>
              <w:t>Кат.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978"/>
              <w:jc w:val="left"/>
              <w:rPr>
                <w:sz w:val="18"/>
              </w:rPr>
            </w:pPr>
            <w:r>
              <w:rPr>
                <w:sz w:val="18"/>
              </w:rPr>
              <w:t>EGQ-RBP/S</w:t>
            </w:r>
          </w:p>
        </w:tc>
      </w:tr>
      <w:tr>
        <w:trPr>
          <w:trHeight w:val="311" w:hRule="atLeast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997" w:right="1072"/>
              <w:rPr>
                <w:sz w:val="18"/>
              </w:rPr>
            </w:pPr>
            <w:r>
              <w:rPr>
                <w:sz w:val="18"/>
              </w:rPr>
              <w:t>Лот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134" w:right="1125"/>
              <w:rPr>
                <w:sz w:val="18"/>
              </w:rPr>
            </w:pPr>
            <w:r>
              <w:rPr>
                <w:sz w:val="18"/>
              </w:rPr>
              <w:t>13-1120</w:t>
            </w:r>
          </w:p>
        </w:tc>
      </w:tr>
      <w:tr>
        <w:trPr>
          <w:trHeight w:val="309" w:hRule="atLeast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57"/>
              <w:jc w:val="left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годности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133" w:right="1125"/>
              <w:rPr>
                <w:sz w:val="18"/>
              </w:rPr>
            </w:pPr>
            <w:r>
              <w:rPr>
                <w:sz w:val="18"/>
              </w:rPr>
              <w:t>08/2015</w:t>
            </w:r>
          </w:p>
        </w:tc>
      </w:tr>
      <w:tr>
        <w:trPr>
          <w:trHeight w:val="311" w:hRule="atLeast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81" w:right="1072"/>
              <w:rPr>
                <w:sz w:val="18"/>
              </w:rPr>
            </w:pPr>
            <w:r>
              <w:rPr>
                <w:sz w:val="18"/>
              </w:rPr>
              <w:t>Упаковка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34" w:right="1089"/>
              <w:rPr>
                <w:sz w:val="18"/>
              </w:rPr>
            </w:pPr>
            <w:r>
              <w:rPr>
                <w:sz w:val="18"/>
              </w:rPr>
              <w:t>1×1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мл</w:t>
            </w:r>
          </w:p>
        </w:tc>
      </w:tr>
      <w:tr>
        <w:trPr>
          <w:trHeight w:val="366" w:hRule="atLeast"/>
        </w:trPr>
        <w:tc>
          <w:tcPr>
            <w:tcW w:w="29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87"/>
              <w:jc w:val="left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реагента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240"/>
              <w:jc w:val="left"/>
              <w:rPr>
                <w:sz w:val="18"/>
              </w:rPr>
            </w:pPr>
            <w:r>
              <w:rPr>
                <w:sz w:val="18"/>
              </w:rPr>
              <w:t>Жидкость</w:t>
            </w:r>
          </w:p>
        </w:tc>
      </w:tr>
    </w:tbl>
    <w:p>
      <w:pPr>
        <w:spacing w:before="177"/>
        <w:ind w:left="143" w:right="0" w:firstLine="0"/>
        <w:jc w:val="left"/>
        <w:rPr>
          <w:b/>
          <w:sz w:val="18"/>
        </w:rPr>
      </w:pPr>
      <w:r>
        <w:rPr>
          <w:b/>
          <w:sz w:val="18"/>
        </w:rPr>
        <w:t>НАЗНАЧЕНИЕ</w:t>
      </w:r>
    </w:p>
    <w:p>
      <w:pPr>
        <w:pStyle w:val="BodyText"/>
        <w:spacing w:line="252" w:lineRule="auto" w:before="125"/>
        <w:ind w:left="143" w:right="260"/>
      </w:pPr>
      <w:r>
        <w:rPr/>
        <w:t>Контрольный набор для определения ретинол-связывающего белка (RBP/S), используемый только для</w:t>
      </w:r>
      <w:r>
        <w:rPr>
          <w:spacing w:val="-47"/>
        </w:rPr>
        <w:t> </w:t>
      </w:r>
      <w:r>
        <w:rPr/>
        <w:t>диагностики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vitro</w:t>
      </w:r>
      <w:r>
        <w:rPr/>
        <w:t>.</w:t>
      </w:r>
    </w:p>
    <w:p>
      <w:pPr>
        <w:pStyle w:val="Heading1"/>
        <w:spacing w:before="103"/>
      </w:pPr>
      <w:r>
        <w:rPr/>
        <w:t>ГОТОВНОСТЬ РЕАГЕНТА</w:t>
      </w:r>
    </w:p>
    <w:p>
      <w:pPr>
        <w:pStyle w:val="BodyText"/>
        <w:spacing w:before="4"/>
        <w:ind w:left="143"/>
      </w:pPr>
      <w:r>
        <w:rPr/>
        <w:t>Жидкий</w:t>
      </w:r>
      <w:r>
        <w:rPr>
          <w:spacing w:val="-4"/>
        </w:rPr>
        <w:t> </w:t>
      </w:r>
      <w:r>
        <w:rPr/>
        <w:t>реагент,</w:t>
      </w:r>
      <w:r>
        <w:rPr>
          <w:spacing w:val="-2"/>
        </w:rPr>
        <w:t> </w:t>
      </w:r>
      <w:r>
        <w:rPr/>
        <w:t>готов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использованию.</w:t>
      </w:r>
    </w:p>
    <w:p>
      <w:pPr>
        <w:pStyle w:val="Heading1"/>
        <w:spacing w:before="117"/>
      </w:pPr>
      <w:r>
        <w:rPr/>
        <w:t>ХРАНЕНИЕ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СТАБИЛЬНОСТЬ</w:t>
      </w:r>
    </w:p>
    <w:p>
      <w:pPr>
        <w:pStyle w:val="BodyText"/>
        <w:spacing w:line="232" w:lineRule="auto" w:before="10"/>
        <w:ind w:left="143" w:right="96"/>
      </w:pPr>
      <w:r>
        <w:rPr/>
        <w:t>Неоткрытый реагент стабилен вплоть до окончания срока годности при хранении в защищенном от света</w:t>
      </w:r>
      <w:r>
        <w:rPr>
          <w:spacing w:val="-47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при температуре</w:t>
      </w:r>
      <w:r>
        <w:rPr>
          <w:spacing w:val="-2"/>
        </w:rPr>
        <w:t> </w:t>
      </w:r>
      <w:r>
        <w:rPr/>
        <w:t>2-8</w:t>
      </w:r>
      <w:r>
        <w:rPr>
          <w:spacing w:val="-4"/>
        </w:rPr>
        <w:t> </w:t>
      </w:r>
      <w:r>
        <w:rPr>
          <w:rFonts w:ascii="Arial Unicode MS" w:hAnsi="Arial Unicode MS"/>
        </w:rPr>
        <w:t>℃</w:t>
      </w:r>
      <w:r>
        <w:rPr/>
        <w:t>.</w:t>
      </w:r>
    </w:p>
    <w:p>
      <w:pPr>
        <w:pStyle w:val="Heading1"/>
        <w:spacing w:before="191"/>
      </w:pPr>
      <w:r>
        <w:rPr/>
        <w:t>МЕРЫ ПРЕДОСТОРОЖНОСТИ</w:t>
      </w:r>
    </w:p>
    <w:p>
      <w:pPr>
        <w:pStyle w:val="BodyText"/>
        <w:spacing w:line="242" w:lineRule="auto" w:before="3"/>
        <w:ind w:left="143" w:right="92"/>
      </w:pPr>
      <w:r>
        <w:rPr/>
        <w:t>Реагент содержит консервант опасный для кожи и слизистой. Консервант может вступать в реакцию со</w:t>
      </w:r>
      <w:r>
        <w:rPr>
          <w:spacing w:val="1"/>
        </w:rPr>
        <w:t> </w:t>
      </w:r>
      <w:r>
        <w:rPr/>
        <w:t>свинцом или медью с образованием потенциально взрывоопасных продуктов, с ним следует обращаться</w:t>
      </w:r>
      <w:r>
        <w:rPr>
          <w:spacing w:val="-47"/>
        </w:rPr>
        <w:t> </w:t>
      </w:r>
      <w:r>
        <w:rPr/>
        <w:t>осторожно.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КОНЦЕНТРАЦИЯ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6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3709"/>
      </w:tblGrid>
      <w:tr>
        <w:trPr>
          <w:trHeight w:val="371" w:hRule="atLeast"/>
        </w:trPr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05" w:right="3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141"/>
              <w:rPr>
                <w:sz w:val="18"/>
              </w:rPr>
            </w:pPr>
            <w:r>
              <w:rPr>
                <w:sz w:val="18"/>
              </w:rPr>
              <w:t>Контрольное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диапазон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(мг/л)</w:t>
            </w:r>
          </w:p>
        </w:tc>
      </w:tr>
      <w:tr>
        <w:trPr>
          <w:trHeight w:val="296" w:hRule="atLeast"/>
        </w:trPr>
        <w:tc>
          <w:tcPr>
            <w:tcW w:w="211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402" w:right="398"/>
              <w:rPr>
                <w:sz w:val="18"/>
              </w:rPr>
            </w:pPr>
            <w:r>
              <w:rPr>
                <w:sz w:val="18"/>
              </w:rPr>
              <w:t>EGQ-RBP/S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02"/>
              <w:rPr>
                <w:sz w:val="18"/>
              </w:rPr>
            </w:pPr>
            <w:r>
              <w:rPr>
                <w:sz w:val="18"/>
              </w:rPr>
              <w:t>100.1±15.1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43" w:right="0" w:firstLine="0"/>
        <w:jc w:val="left"/>
        <w:rPr>
          <w:sz w:val="14"/>
        </w:rPr>
      </w:pPr>
      <w:r>
        <w:rPr>
          <w:sz w:val="14"/>
        </w:rPr>
        <w:t>Beijing</w:t>
      </w:r>
      <w:r>
        <w:rPr>
          <w:spacing w:val="-5"/>
          <w:sz w:val="14"/>
        </w:rPr>
        <w:t> </w:t>
      </w:r>
      <w:r>
        <w:rPr>
          <w:sz w:val="14"/>
        </w:rPr>
        <w:t>Strong</w:t>
      </w:r>
      <w:r>
        <w:rPr>
          <w:spacing w:val="-4"/>
          <w:sz w:val="14"/>
        </w:rPr>
        <w:t> </w:t>
      </w:r>
      <w:r>
        <w:rPr>
          <w:sz w:val="14"/>
        </w:rPr>
        <w:t>Biotechnologies,</w:t>
      </w:r>
      <w:r>
        <w:rPr>
          <w:spacing w:val="-2"/>
          <w:sz w:val="14"/>
        </w:rPr>
        <w:t> </w:t>
      </w:r>
      <w:r>
        <w:rPr>
          <w:sz w:val="14"/>
        </w:rPr>
        <w:t>Inc.</w:t>
      </w:r>
    </w:p>
    <w:p>
      <w:pPr>
        <w:spacing w:line="242" w:lineRule="auto" w:before="0"/>
        <w:ind w:left="143" w:right="2945" w:firstLine="0"/>
        <w:jc w:val="left"/>
        <w:rPr>
          <w:sz w:val="14"/>
        </w:rPr>
      </w:pPr>
      <w:r>
        <w:rPr>
          <w:sz w:val="14"/>
        </w:rPr>
        <w:t>Add:</w:t>
      </w:r>
      <w:r>
        <w:rPr>
          <w:spacing w:val="-4"/>
          <w:sz w:val="14"/>
        </w:rPr>
        <w:t> </w:t>
      </w:r>
      <w:r>
        <w:rPr>
          <w:sz w:val="14"/>
        </w:rPr>
        <w:t>5/F,KuangYi</w:t>
      </w:r>
      <w:r>
        <w:rPr>
          <w:spacing w:val="-5"/>
          <w:sz w:val="14"/>
        </w:rPr>
        <w:t> </w:t>
      </w:r>
      <w:r>
        <w:rPr>
          <w:sz w:val="14"/>
        </w:rPr>
        <w:t>Building,No.15,Hua</w:t>
      </w:r>
      <w:r>
        <w:rPr>
          <w:spacing w:val="-4"/>
          <w:sz w:val="14"/>
        </w:rPr>
        <w:t> </w:t>
      </w:r>
      <w:r>
        <w:rPr>
          <w:sz w:val="14"/>
        </w:rPr>
        <w:t>Yuan</w:t>
      </w:r>
      <w:r>
        <w:rPr>
          <w:spacing w:val="-4"/>
          <w:sz w:val="14"/>
        </w:rPr>
        <w:t> </w:t>
      </w:r>
      <w:r>
        <w:rPr>
          <w:sz w:val="14"/>
        </w:rPr>
        <w:t>Dong</w:t>
      </w:r>
      <w:r>
        <w:rPr>
          <w:spacing w:val="-3"/>
          <w:sz w:val="14"/>
        </w:rPr>
        <w:t> </w:t>
      </w:r>
      <w:r>
        <w:rPr>
          <w:sz w:val="14"/>
        </w:rPr>
        <w:t>Lu,Haidian</w:t>
      </w:r>
      <w:r>
        <w:rPr>
          <w:spacing w:val="-5"/>
          <w:sz w:val="14"/>
        </w:rPr>
        <w:t> </w:t>
      </w:r>
      <w:r>
        <w:rPr>
          <w:sz w:val="14"/>
        </w:rPr>
        <w:t>District,Beijing</w:t>
      </w:r>
      <w:r>
        <w:rPr>
          <w:spacing w:val="-6"/>
          <w:sz w:val="14"/>
        </w:rPr>
        <w:t> </w:t>
      </w:r>
      <w:r>
        <w:rPr>
          <w:sz w:val="14"/>
        </w:rPr>
        <w:t>100191,P.R.China</w:t>
      </w:r>
      <w:r>
        <w:rPr>
          <w:spacing w:val="-36"/>
          <w:sz w:val="14"/>
        </w:rPr>
        <w:t> </w:t>
      </w:r>
      <w:r>
        <w:rPr>
          <w:sz w:val="14"/>
        </w:rPr>
        <w:t>Tel:</w:t>
      </w:r>
      <w:r>
        <w:rPr>
          <w:spacing w:val="36"/>
          <w:sz w:val="14"/>
        </w:rPr>
        <w:t> </w:t>
      </w:r>
      <w:r>
        <w:rPr>
          <w:sz w:val="14"/>
        </w:rPr>
        <w:t>+86</w:t>
      </w:r>
      <w:r>
        <w:rPr>
          <w:spacing w:val="-2"/>
          <w:sz w:val="14"/>
        </w:rPr>
        <w:t> </w:t>
      </w:r>
      <w:r>
        <w:rPr>
          <w:sz w:val="14"/>
        </w:rPr>
        <w:t>10</w:t>
      </w:r>
      <w:r>
        <w:rPr>
          <w:spacing w:val="-1"/>
          <w:sz w:val="14"/>
        </w:rPr>
        <w:t> </w:t>
      </w:r>
      <w:r>
        <w:rPr>
          <w:sz w:val="14"/>
        </w:rPr>
        <w:t>8201</w:t>
      </w:r>
      <w:r>
        <w:rPr>
          <w:spacing w:val="-2"/>
          <w:sz w:val="14"/>
        </w:rPr>
        <w:t> </w:t>
      </w:r>
      <w:r>
        <w:rPr>
          <w:sz w:val="14"/>
        </w:rPr>
        <w:t>2486   </w:t>
      </w:r>
      <w:r>
        <w:rPr>
          <w:spacing w:val="38"/>
          <w:sz w:val="14"/>
        </w:rPr>
        <w:t> </w:t>
      </w:r>
      <w:r>
        <w:rPr>
          <w:sz w:val="14"/>
        </w:rPr>
        <w:t>Fax:</w:t>
      </w:r>
      <w:r>
        <w:rPr>
          <w:spacing w:val="1"/>
          <w:sz w:val="14"/>
        </w:rPr>
        <w:t> </w:t>
      </w:r>
      <w:r>
        <w:rPr>
          <w:sz w:val="14"/>
        </w:rPr>
        <w:t>+86</w:t>
      </w:r>
      <w:r>
        <w:rPr>
          <w:spacing w:val="-1"/>
          <w:sz w:val="14"/>
        </w:rPr>
        <w:t> </w:t>
      </w:r>
      <w:r>
        <w:rPr>
          <w:sz w:val="14"/>
        </w:rPr>
        <w:t>10</w:t>
      </w:r>
      <w:r>
        <w:rPr>
          <w:spacing w:val="1"/>
          <w:sz w:val="14"/>
        </w:rPr>
        <w:t> </w:t>
      </w:r>
      <w:r>
        <w:rPr>
          <w:sz w:val="14"/>
        </w:rPr>
        <w:t>8201</w:t>
      </w:r>
      <w:r>
        <w:rPr>
          <w:spacing w:val="1"/>
          <w:sz w:val="14"/>
        </w:rPr>
        <w:t> </w:t>
      </w:r>
      <w:r>
        <w:rPr>
          <w:sz w:val="14"/>
        </w:rPr>
        <w:t>2812</w:t>
      </w:r>
    </w:p>
    <w:p>
      <w:pPr>
        <w:tabs>
          <w:tab w:pos="7515" w:val="left" w:leader="none"/>
        </w:tabs>
        <w:spacing w:line="409" w:lineRule="exact" w:before="0"/>
        <w:ind w:left="143" w:right="0" w:firstLine="0"/>
        <w:jc w:val="left"/>
        <w:rPr>
          <w:sz w:val="24"/>
        </w:rPr>
      </w:pPr>
      <w:r>
        <w:rPr>
          <w:spacing w:val="-1"/>
          <w:sz w:val="14"/>
        </w:rPr>
        <w:t>Web:</w:t>
      </w:r>
      <w:r>
        <w:rPr>
          <w:spacing w:val="-9"/>
          <w:sz w:val="14"/>
        </w:rPr>
        <w:t> </w:t>
      </w:r>
      <w:hyperlink r:id="rId6">
        <w:r>
          <w:rPr>
            <w:color w:val="0000FF"/>
            <w:sz w:val="14"/>
            <w:u w:val="single" w:color="0000FF"/>
          </w:rPr>
          <w:t>http://en.bsbe.com.cn/</w:t>
        </w:r>
      </w:hyperlink>
      <w:r>
        <w:rPr>
          <w:color w:val="0000FF"/>
          <w:sz w:val="14"/>
        </w:rPr>
        <w:t>   </w:t>
      </w:r>
      <w:r>
        <w:rPr>
          <w:color w:val="0000FF"/>
          <w:spacing w:val="38"/>
          <w:sz w:val="14"/>
        </w:rPr>
        <w:t> </w:t>
      </w:r>
      <w:hyperlink r:id="rId7">
        <w:r>
          <w:rPr>
            <w:w w:val="95"/>
            <w:sz w:val="14"/>
          </w:rPr>
          <w:t>Email:overseas@bsbe.com.cn</w:t>
          <w:tab/>
        </w:r>
        <w:r>
          <w:rPr>
            <w:sz w:val="14"/>
          </w:rPr>
        </w:r>
        <w:r>
          <w:rPr>
            <w:rFonts w:ascii="Times New Roman"/>
            <w:sz w:val="14"/>
          </w:rPr>
          <w:t>      </w:t>
        </w:r>
        <w:r>
          <w:rPr>
            <w:rFonts w:ascii="Times New Roman"/>
            <w:spacing w:val="-17"/>
            <w:sz w:val="14"/>
          </w:rPr>
          <w:t> </w:t>
        </w:r>
      </w:hyperlink>
      <w:r>
        <w:rPr>
          <w:sz w:val="14"/>
        </w:rPr>
        <w:drawing>
          <wp:inline distT="0" distB="0" distL="0" distR="0">
            <wp:extent cx="313689" cy="22860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V.4.0</w:t>
      </w:r>
    </w:p>
    <w:sectPr>
      <w:type w:val="continuous"/>
      <w:pgSz w:w="11910" w:h="16850"/>
      <w:pgMar w:top="720" w:bottom="280" w:left="11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" w:hAnsi="Arial" w:eastAsia="Arial" w:cs="Arial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0"/>
      <w:ind w:left="2090" w:right="1272" w:hanging="963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  <w:jc w:val="center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en.bsbe.com.cn/" TargetMode="External"/><Relationship Id="rId7" Type="http://schemas.openxmlformats.org/officeDocument/2006/relationships/hyperlink" Target="mailto:overseas@bsbe.com.cn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微软（中国）有限公司</dc:creator>
  <dc:title>HDL/LDL标准              G-cell</dc:title>
  <dcterms:created xsi:type="dcterms:W3CDTF">2022-10-07T15:58:27Z</dcterms:created>
  <dcterms:modified xsi:type="dcterms:W3CDTF">2022-10-07T15:58:27Z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